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5D20" w:rsidRDefault="00225D20" w:rsidP="00225D20">
      <w:pPr>
        <w:jc w:val="both"/>
        <w:rPr>
          <w:b/>
          <w:color w:val="0B5484" w:themeColor="accent1" w:themeShade="80"/>
          <w:sz w:val="72"/>
          <w:szCs w:val="72"/>
        </w:rPr>
      </w:pPr>
    </w:p>
    <w:p w:rsidR="00225D20" w:rsidRPr="00225D20" w:rsidRDefault="00225D20" w:rsidP="00225D20">
      <w:pPr>
        <w:jc w:val="center"/>
        <w:rPr>
          <w:b/>
          <w:color w:val="0B5484" w:themeColor="accent1" w:themeShade="80"/>
          <w:sz w:val="72"/>
          <w:szCs w:val="72"/>
        </w:rPr>
      </w:pPr>
      <w:r w:rsidRPr="00225D20">
        <w:rPr>
          <w:b/>
          <w:color w:val="0B5484" w:themeColor="accent1" w:themeShade="80"/>
          <w:sz w:val="72"/>
          <w:szCs w:val="72"/>
        </w:rPr>
        <w:t>Assessing the Potential of Mini-publics to Promote Evidence Uptake in Social Policy and Practice</w:t>
      </w:r>
    </w:p>
    <w:p w:rsidR="007F729A" w:rsidRDefault="007F729A"/>
    <w:p w:rsidR="00225D20" w:rsidRDefault="00225D20"/>
    <w:p w:rsidR="00225D20" w:rsidRDefault="00225D20" w:rsidP="00225D20">
      <w:pPr>
        <w:jc w:val="center"/>
        <w:rPr>
          <w:b/>
          <w:color w:val="0B5484" w:themeColor="accent1" w:themeShade="80"/>
          <w:sz w:val="36"/>
          <w:szCs w:val="36"/>
        </w:rPr>
      </w:pPr>
      <w:r>
        <w:rPr>
          <w:b/>
          <w:color w:val="0B5484" w:themeColor="accent1" w:themeShade="80"/>
          <w:sz w:val="36"/>
          <w:szCs w:val="36"/>
        </w:rPr>
        <w:t>Stephen Elstub, Ian Johnson, Ruth Puttick &amp; Matthew Wilkinson</w:t>
      </w:r>
    </w:p>
    <w:p w:rsidR="00225D20" w:rsidRDefault="00225D20" w:rsidP="00225D20">
      <w:pPr>
        <w:jc w:val="center"/>
        <w:rPr>
          <w:b/>
          <w:color w:val="0B5484" w:themeColor="accent1" w:themeShade="80"/>
          <w:sz w:val="36"/>
          <w:szCs w:val="36"/>
        </w:rPr>
      </w:pPr>
      <w:r>
        <w:rPr>
          <w:b/>
          <w:color w:val="0B5484" w:themeColor="accent1" w:themeShade="80"/>
          <w:sz w:val="36"/>
          <w:szCs w:val="36"/>
        </w:rPr>
        <w:t>Newcastle University</w:t>
      </w:r>
    </w:p>
    <w:p w:rsidR="00225D20" w:rsidRDefault="00225D20" w:rsidP="00225D20">
      <w:pPr>
        <w:jc w:val="both"/>
        <w:rPr>
          <w:b/>
          <w:color w:val="0B5484" w:themeColor="accent1" w:themeShade="80"/>
          <w:sz w:val="36"/>
          <w:szCs w:val="36"/>
        </w:rPr>
      </w:pPr>
    </w:p>
    <w:p w:rsidR="00225D20" w:rsidRDefault="00225D20" w:rsidP="00225D20">
      <w:pPr>
        <w:jc w:val="both"/>
        <w:rPr>
          <w:b/>
          <w:color w:val="0B5484" w:themeColor="accent1" w:themeShade="80"/>
          <w:sz w:val="36"/>
          <w:szCs w:val="36"/>
        </w:rPr>
      </w:pPr>
    </w:p>
    <w:p w:rsidR="00225D20" w:rsidRDefault="00D600F4" w:rsidP="00225D20">
      <w:pPr>
        <w:jc w:val="center"/>
        <w:rPr>
          <w:b/>
          <w:color w:val="0B5484" w:themeColor="accent1" w:themeShade="80"/>
          <w:sz w:val="36"/>
          <w:szCs w:val="36"/>
        </w:rPr>
      </w:pPr>
      <w:r>
        <w:rPr>
          <w:b/>
          <w:color w:val="0B5484" w:themeColor="accent1" w:themeShade="80"/>
          <w:sz w:val="36"/>
          <w:szCs w:val="36"/>
        </w:rPr>
        <w:t xml:space="preserve">July </w:t>
      </w:r>
      <w:r w:rsidR="00225D20">
        <w:rPr>
          <w:b/>
          <w:color w:val="0B5484" w:themeColor="accent1" w:themeShade="80"/>
          <w:sz w:val="36"/>
          <w:szCs w:val="36"/>
        </w:rPr>
        <w:t>2018</w:t>
      </w:r>
    </w:p>
    <w:p w:rsidR="00225D20" w:rsidRDefault="00225D20"/>
    <w:p w:rsidR="00225D20" w:rsidRDefault="00225D20"/>
    <w:p w:rsidR="00225D20" w:rsidRDefault="00225D20"/>
    <w:p w:rsidR="00225D20" w:rsidRDefault="00225D20"/>
    <w:p w:rsidR="00225D20" w:rsidRDefault="00225D20"/>
    <w:p w:rsidR="00225D20" w:rsidRDefault="00225D20" w:rsidP="00A73D15">
      <w:pPr>
        <w:jc w:val="center"/>
      </w:pPr>
      <w:r>
        <w:rPr>
          <w:noProof/>
          <w:lang w:eastAsia="en-GB"/>
        </w:rPr>
        <w:drawing>
          <wp:inline distT="0" distB="0" distL="0" distR="0" wp14:anchorId="6083EFF6" wp14:editId="409995BF">
            <wp:extent cx="2028825" cy="5143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028825" cy="514350"/>
                    </a:xfrm>
                    <a:prstGeom prst="rect">
                      <a:avLst/>
                    </a:prstGeom>
                  </pic:spPr>
                </pic:pic>
              </a:graphicData>
            </a:graphic>
          </wp:inline>
        </w:drawing>
      </w:r>
    </w:p>
    <w:p w:rsidR="00A73D15" w:rsidRDefault="00A73D15" w:rsidP="00A73D15">
      <w:pPr>
        <w:jc w:val="center"/>
      </w:pPr>
    </w:p>
    <w:p w:rsidR="00A73D15" w:rsidRDefault="00A73D15" w:rsidP="00A73D15">
      <w:pPr>
        <w:jc w:val="center"/>
      </w:pPr>
    </w:p>
    <w:p w:rsidR="00A73D15" w:rsidRDefault="00A73D15" w:rsidP="00A73D15">
      <w:pPr>
        <w:jc w:val="center"/>
      </w:pPr>
    </w:p>
    <w:p w:rsidR="00A73D15" w:rsidRDefault="00A73D15" w:rsidP="00A73D15">
      <w:pPr>
        <w:jc w:val="center"/>
      </w:pPr>
    </w:p>
    <w:p w:rsidR="00A73D15" w:rsidRDefault="00A73D15" w:rsidP="00A73D15">
      <w:pPr>
        <w:jc w:val="center"/>
      </w:pPr>
    </w:p>
    <w:p w:rsidR="00A73D15" w:rsidRDefault="00A73D15" w:rsidP="00A73D15">
      <w:pPr>
        <w:jc w:val="both"/>
        <w:rPr>
          <w:b/>
          <w:color w:val="0B5484" w:themeColor="accent1" w:themeShade="80"/>
          <w:sz w:val="36"/>
          <w:szCs w:val="36"/>
        </w:rPr>
      </w:pPr>
    </w:p>
    <w:p w:rsidR="00A73D15" w:rsidRDefault="00A73D15" w:rsidP="00A73D15">
      <w:pPr>
        <w:jc w:val="both"/>
        <w:rPr>
          <w:b/>
          <w:color w:val="0B5484" w:themeColor="accent1" w:themeShade="80"/>
          <w:sz w:val="36"/>
          <w:szCs w:val="36"/>
        </w:rPr>
      </w:pPr>
    </w:p>
    <w:p w:rsidR="00A73D15" w:rsidRDefault="00A73D15" w:rsidP="00A73D15">
      <w:pPr>
        <w:jc w:val="both"/>
        <w:rPr>
          <w:b/>
          <w:color w:val="0B5484" w:themeColor="accent1" w:themeShade="80"/>
          <w:sz w:val="36"/>
          <w:szCs w:val="36"/>
        </w:rPr>
      </w:pPr>
      <w:r>
        <w:rPr>
          <w:b/>
          <w:color w:val="0B5484" w:themeColor="accent1" w:themeShade="80"/>
          <w:sz w:val="36"/>
          <w:szCs w:val="36"/>
        </w:rPr>
        <w:t>About the Report</w:t>
      </w:r>
    </w:p>
    <w:p w:rsidR="00A73D15" w:rsidRPr="0001431F" w:rsidRDefault="00A73D15" w:rsidP="00A73D15">
      <w:pPr>
        <w:jc w:val="both"/>
        <w:rPr>
          <w:sz w:val="24"/>
          <w:szCs w:val="24"/>
        </w:rPr>
      </w:pPr>
      <w:r w:rsidRPr="0001431F">
        <w:rPr>
          <w:sz w:val="24"/>
          <w:szCs w:val="24"/>
        </w:rPr>
        <w:t xml:space="preserve">This report was commissioned by </w:t>
      </w:r>
      <w:proofErr w:type="spellStart"/>
      <w:r w:rsidRPr="0001431F">
        <w:rPr>
          <w:sz w:val="24"/>
          <w:szCs w:val="24"/>
        </w:rPr>
        <w:t>Nesta</w:t>
      </w:r>
      <w:proofErr w:type="spellEnd"/>
      <w:r w:rsidRPr="0001431F">
        <w:rPr>
          <w:sz w:val="24"/>
          <w:szCs w:val="24"/>
        </w:rPr>
        <w:t xml:space="preserve"> and was produced by Stephen Elstub, Ian Johnson, Ruth Puttick and Matthew Wilkinson from Newcastle University.</w:t>
      </w:r>
    </w:p>
    <w:p w:rsidR="00A73D15" w:rsidRPr="0001431F" w:rsidRDefault="00A73D15" w:rsidP="00A73D15">
      <w:pPr>
        <w:jc w:val="both"/>
        <w:rPr>
          <w:sz w:val="24"/>
          <w:szCs w:val="24"/>
        </w:rPr>
      </w:pPr>
      <w:r w:rsidRPr="0001431F">
        <w:rPr>
          <w:sz w:val="24"/>
          <w:szCs w:val="24"/>
        </w:rPr>
        <w:t xml:space="preserve">The report should be cited as: </w:t>
      </w:r>
    </w:p>
    <w:p w:rsidR="00A73D15" w:rsidRPr="0001431F" w:rsidRDefault="00A73D15" w:rsidP="00A73D15">
      <w:pPr>
        <w:jc w:val="both"/>
        <w:rPr>
          <w:sz w:val="24"/>
          <w:szCs w:val="24"/>
        </w:rPr>
      </w:pPr>
      <w:r w:rsidRPr="0001431F">
        <w:rPr>
          <w:sz w:val="24"/>
          <w:szCs w:val="24"/>
        </w:rPr>
        <w:t xml:space="preserve">Elstub, S., Johnson, I., Puttick, R., and Wilkinson, M. (2018) </w:t>
      </w:r>
      <w:r w:rsidRPr="0001431F">
        <w:rPr>
          <w:i/>
          <w:sz w:val="24"/>
          <w:szCs w:val="24"/>
        </w:rPr>
        <w:t>Assessing the Potential of Mini-Publics to Promote Evidence Uptake in Social Policy and Practice</w:t>
      </w:r>
      <w:r w:rsidRPr="0001431F">
        <w:rPr>
          <w:sz w:val="24"/>
          <w:szCs w:val="24"/>
        </w:rPr>
        <w:t>, Newcastle: Newcastle University.</w:t>
      </w:r>
    </w:p>
    <w:p w:rsidR="00A73D15" w:rsidRDefault="00A73D15" w:rsidP="00A73D15">
      <w:pPr>
        <w:jc w:val="both"/>
      </w:pPr>
    </w:p>
    <w:p w:rsidR="00A73D15" w:rsidRDefault="00A73D15" w:rsidP="00A73D15">
      <w:pPr>
        <w:jc w:val="both"/>
        <w:rPr>
          <w:b/>
          <w:color w:val="0B5484" w:themeColor="accent1" w:themeShade="80"/>
          <w:sz w:val="36"/>
          <w:szCs w:val="36"/>
        </w:rPr>
      </w:pPr>
      <w:r>
        <w:rPr>
          <w:b/>
          <w:color w:val="0B5484" w:themeColor="accent1" w:themeShade="80"/>
          <w:sz w:val="36"/>
          <w:szCs w:val="36"/>
        </w:rPr>
        <w:t>About the Authors</w:t>
      </w:r>
    </w:p>
    <w:p w:rsidR="00A73D15" w:rsidRPr="0001431F" w:rsidRDefault="00A73D15" w:rsidP="00A73D15">
      <w:pPr>
        <w:jc w:val="both"/>
        <w:rPr>
          <w:sz w:val="24"/>
          <w:szCs w:val="24"/>
        </w:rPr>
      </w:pPr>
      <w:r w:rsidRPr="0001431F">
        <w:rPr>
          <w:b/>
          <w:sz w:val="24"/>
          <w:szCs w:val="24"/>
        </w:rPr>
        <w:t>Stephen Elstub</w:t>
      </w:r>
      <w:r w:rsidRPr="0001431F">
        <w:rPr>
          <w:sz w:val="24"/>
          <w:szCs w:val="24"/>
        </w:rPr>
        <w:t xml:space="preserve"> is a </w:t>
      </w:r>
      <w:r w:rsidR="00724157">
        <w:rPr>
          <w:sz w:val="24"/>
          <w:szCs w:val="24"/>
        </w:rPr>
        <w:t>Senior L</w:t>
      </w:r>
      <w:r w:rsidRPr="0001431F">
        <w:rPr>
          <w:sz w:val="24"/>
          <w:szCs w:val="24"/>
        </w:rPr>
        <w:t>ectu</w:t>
      </w:r>
      <w:r w:rsidR="00724157">
        <w:rPr>
          <w:sz w:val="24"/>
          <w:szCs w:val="24"/>
        </w:rPr>
        <w:t>rer in British Politics in the S</w:t>
      </w:r>
      <w:r w:rsidRPr="0001431F">
        <w:rPr>
          <w:sz w:val="24"/>
          <w:szCs w:val="24"/>
        </w:rPr>
        <w:t>chool of Geography, Politics &amp; Sociology, Newcastle University.</w:t>
      </w:r>
    </w:p>
    <w:p w:rsidR="00A73D15" w:rsidRPr="0001431F" w:rsidRDefault="00A73D15" w:rsidP="00A73D15">
      <w:pPr>
        <w:jc w:val="both"/>
        <w:rPr>
          <w:sz w:val="24"/>
          <w:szCs w:val="24"/>
        </w:rPr>
      </w:pPr>
      <w:r w:rsidRPr="0001431F">
        <w:rPr>
          <w:sz w:val="24"/>
          <w:szCs w:val="24"/>
        </w:rPr>
        <w:t xml:space="preserve">E-mail: </w:t>
      </w:r>
      <w:hyperlink r:id="rId9" w:history="1">
        <w:r w:rsidRPr="0001431F">
          <w:rPr>
            <w:rStyle w:val="Hyperlink"/>
            <w:sz w:val="24"/>
            <w:szCs w:val="24"/>
          </w:rPr>
          <w:t>stephen.elstub@ncl.ac.uk</w:t>
        </w:r>
      </w:hyperlink>
    </w:p>
    <w:p w:rsidR="00A73D15" w:rsidRPr="0001431F" w:rsidRDefault="00A73D15" w:rsidP="00A73D15">
      <w:pPr>
        <w:jc w:val="both"/>
        <w:rPr>
          <w:sz w:val="24"/>
          <w:szCs w:val="24"/>
        </w:rPr>
      </w:pPr>
      <w:r w:rsidRPr="0001431F">
        <w:rPr>
          <w:b/>
          <w:sz w:val="24"/>
          <w:szCs w:val="24"/>
        </w:rPr>
        <w:t xml:space="preserve">Ian Johnson </w:t>
      </w:r>
      <w:r w:rsidRPr="0001431F">
        <w:rPr>
          <w:sz w:val="24"/>
          <w:szCs w:val="24"/>
        </w:rPr>
        <w:t xml:space="preserve">is a PhD candidate in Digital Civics at Open Lab, Newcastle University. </w:t>
      </w:r>
    </w:p>
    <w:p w:rsidR="00A73D15" w:rsidRPr="0001431F" w:rsidRDefault="00A73D15" w:rsidP="00A73D15">
      <w:pPr>
        <w:jc w:val="both"/>
        <w:rPr>
          <w:sz w:val="24"/>
          <w:szCs w:val="24"/>
        </w:rPr>
      </w:pPr>
      <w:r w:rsidRPr="0001431F">
        <w:rPr>
          <w:b/>
          <w:sz w:val="24"/>
          <w:szCs w:val="24"/>
        </w:rPr>
        <w:t>Ruth Puttick</w:t>
      </w:r>
      <w:r w:rsidRPr="0001431F">
        <w:rPr>
          <w:sz w:val="24"/>
          <w:szCs w:val="24"/>
        </w:rPr>
        <w:t xml:space="preserve"> is a PhD candidate in the school of Geography, Politics &amp; Sociology, Newcastle University.</w:t>
      </w:r>
    </w:p>
    <w:p w:rsidR="00A73D15" w:rsidRPr="0001431F" w:rsidRDefault="00A73D15" w:rsidP="00A73D15">
      <w:pPr>
        <w:jc w:val="both"/>
        <w:rPr>
          <w:sz w:val="24"/>
          <w:szCs w:val="24"/>
        </w:rPr>
      </w:pPr>
      <w:r w:rsidRPr="0001431F">
        <w:rPr>
          <w:b/>
          <w:sz w:val="24"/>
          <w:szCs w:val="24"/>
        </w:rPr>
        <w:t xml:space="preserve">Matthew Wilkinson </w:t>
      </w:r>
      <w:r w:rsidRPr="0001431F">
        <w:rPr>
          <w:sz w:val="24"/>
          <w:szCs w:val="24"/>
        </w:rPr>
        <w:t>is a Masters student in the school of Geography, Politics &amp; Sociology, Newcastle University.</w:t>
      </w:r>
    </w:p>
    <w:p w:rsidR="00A73D15" w:rsidRDefault="00A73D15" w:rsidP="00A73D15">
      <w:pPr>
        <w:jc w:val="center"/>
      </w:pPr>
    </w:p>
    <w:p w:rsidR="00A73D15" w:rsidRDefault="00A73D15" w:rsidP="00A73D15">
      <w:pPr>
        <w:jc w:val="center"/>
      </w:pPr>
    </w:p>
    <w:p w:rsidR="00A73D15" w:rsidRDefault="00A73D15" w:rsidP="00A73D15">
      <w:pPr>
        <w:jc w:val="center"/>
      </w:pPr>
    </w:p>
    <w:p w:rsidR="00A73D15" w:rsidRDefault="00A73D15" w:rsidP="00A73D15">
      <w:pPr>
        <w:jc w:val="center"/>
      </w:pPr>
    </w:p>
    <w:p w:rsidR="00A73D15" w:rsidRDefault="00A73D15" w:rsidP="00A73D15">
      <w:pPr>
        <w:jc w:val="center"/>
      </w:pPr>
    </w:p>
    <w:p w:rsidR="00A73D15" w:rsidRDefault="00A73D15" w:rsidP="00A73D15">
      <w:pPr>
        <w:jc w:val="center"/>
      </w:pPr>
    </w:p>
    <w:p w:rsidR="00A73D15" w:rsidRDefault="00A73D15" w:rsidP="00A73D15">
      <w:pPr>
        <w:jc w:val="center"/>
      </w:pPr>
    </w:p>
    <w:p w:rsidR="00A73D15" w:rsidRDefault="00A73D15" w:rsidP="00A73D15">
      <w:pPr>
        <w:jc w:val="center"/>
      </w:pPr>
    </w:p>
    <w:p w:rsidR="00A73D15" w:rsidRDefault="00A73D15" w:rsidP="00A73D15">
      <w:pPr>
        <w:jc w:val="center"/>
      </w:pPr>
    </w:p>
    <w:p w:rsidR="00A73D15" w:rsidRDefault="00A73D15" w:rsidP="00A73D15">
      <w:pPr>
        <w:jc w:val="center"/>
      </w:pPr>
      <w:r>
        <w:rPr>
          <w:noProof/>
          <w:lang w:eastAsia="en-GB"/>
        </w:rPr>
        <w:drawing>
          <wp:inline distT="0" distB="0" distL="0" distR="0" wp14:anchorId="355F682E" wp14:editId="282C8222">
            <wp:extent cx="2028825" cy="5143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028825" cy="514350"/>
                    </a:xfrm>
                    <a:prstGeom prst="rect">
                      <a:avLst/>
                    </a:prstGeom>
                  </pic:spPr>
                </pic:pic>
              </a:graphicData>
            </a:graphic>
          </wp:inline>
        </w:drawing>
      </w:r>
    </w:p>
    <w:p w:rsidR="00A73D15" w:rsidRDefault="00A73D15" w:rsidP="00A73D15">
      <w:pPr>
        <w:jc w:val="center"/>
      </w:pPr>
    </w:p>
    <w:p w:rsidR="00A73D15" w:rsidRDefault="00A73D15" w:rsidP="00A73D15">
      <w:pPr>
        <w:jc w:val="center"/>
      </w:pPr>
    </w:p>
    <w:p w:rsidR="00A73D15" w:rsidRDefault="00A73D15" w:rsidP="00A73D15">
      <w:pPr>
        <w:jc w:val="center"/>
      </w:pPr>
    </w:p>
    <w:p w:rsidR="00A73D15" w:rsidRDefault="00A73D15" w:rsidP="00A73D15">
      <w:pPr>
        <w:jc w:val="center"/>
      </w:pPr>
    </w:p>
    <w:p w:rsidR="00A73D15" w:rsidRDefault="00A73D15" w:rsidP="00A73D15">
      <w:pPr>
        <w:jc w:val="center"/>
      </w:pPr>
    </w:p>
    <w:p w:rsidR="00A73D15" w:rsidRDefault="00A73D15" w:rsidP="00A73D15">
      <w:pPr>
        <w:jc w:val="both"/>
        <w:rPr>
          <w:b/>
          <w:color w:val="0B5484" w:themeColor="accent1" w:themeShade="80"/>
          <w:sz w:val="36"/>
          <w:szCs w:val="36"/>
        </w:rPr>
      </w:pPr>
      <w:r>
        <w:rPr>
          <w:b/>
          <w:color w:val="0B5484" w:themeColor="accent1" w:themeShade="80"/>
          <w:sz w:val="36"/>
          <w:szCs w:val="36"/>
        </w:rPr>
        <w:t>Executive Summary</w:t>
      </w:r>
    </w:p>
    <w:p w:rsidR="008748F1" w:rsidRDefault="008748F1" w:rsidP="008748F1">
      <w:pPr>
        <w:pStyle w:val="ListParagraph"/>
        <w:numPr>
          <w:ilvl w:val="0"/>
          <w:numId w:val="17"/>
        </w:numPr>
        <w:jc w:val="both"/>
        <w:rPr>
          <w:sz w:val="24"/>
          <w:szCs w:val="24"/>
        </w:rPr>
      </w:pPr>
      <w:r>
        <w:rPr>
          <w:sz w:val="24"/>
          <w:szCs w:val="24"/>
        </w:rPr>
        <w:t>This report assesses the relationship between evidence provision in mini-publics and the subsequent effects on social policy and practice.</w:t>
      </w:r>
    </w:p>
    <w:p w:rsidR="007468BA" w:rsidRDefault="007468BA" w:rsidP="007468BA">
      <w:pPr>
        <w:pStyle w:val="ListParagraph"/>
        <w:jc w:val="both"/>
        <w:rPr>
          <w:sz w:val="24"/>
          <w:szCs w:val="24"/>
        </w:rPr>
      </w:pPr>
    </w:p>
    <w:p w:rsidR="008748F1" w:rsidRDefault="008748F1" w:rsidP="008748F1">
      <w:pPr>
        <w:pStyle w:val="ListParagraph"/>
        <w:numPr>
          <w:ilvl w:val="0"/>
          <w:numId w:val="17"/>
        </w:numPr>
        <w:jc w:val="both"/>
        <w:rPr>
          <w:sz w:val="24"/>
          <w:szCs w:val="24"/>
        </w:rPr>
      </w:pPr>
      <w:r>
        <w:rPr>
          <w:sz w:val="24"/>
          <w:szCs w:val="24"/>
        </w:rPr>
        <w:t>The research was underpinned by an English language</w:t>
      </w:r>
      <w:r w:rsidR="000264B9">
        <w:rPr>
          <w:sz w:val="24"/>
          <w:szCs w:val="24"/>
        </w:rPr>
        <w:t xml:space="preserve"> literature review, sourced through a range of data bases and internet searches, </w:t>
      </w:r>
      <w:r>
        <w:rPr>
          <w:sz w:val="24"/>
          <w:szCs w:val="24"/>
        </w:rPr>
        <w:t xml:space="preserve">of mini-public cases </w:t>
      </w:r>
      <w:r w:rsidR="000264B9">
        <w:rPr>
          <w:sz w:val="24"/>
          <w:szCs w:val="24"/>
        </w:rPr>
        <w:t xml:space="preserve">(citizens’ juries, consensus conferences, citizens; assemblies, deliberative polls and planning cells), </w:t>
      </w:r>
      <w:r>
        <w:rPr>
          <w:sz w:val="24"/>
          <w:szCs w:val="24"/>
        </w:rPr>
        <w:t xml:space="preserve">on social policy and practice issues in </w:t>
      </w:r>
      <w:r w:rsidRPr="008748F1">
        <w:rPr>
          <w:sz w:val="24"/>
          <w:szCs w:val="24"/>
        </w:rPr>
        <w:t>Australia, Denmark, Finland, France, Germany, New Zealand, the Netherlands</w:t>
      </w:r>
      <w:r>
        <w:rPr>
          <w:sz w:val="24"/>
          <w:szCs w:val="24"/>
        </w:rPr>
        <w:t>,</w:t>
      </w:r>
      <w:r w:rsidRPr="008748F1">
        <w:rPr>
          <w:sz w:val="24"/>
          <w:szCs w:val="24"/>
        </w:rPr>
        <w:t xml:space="preserve"> and the United Kingdom</w:t>
      </w:r>
      <w:r w:rsidR="000264B9">
        <w:rPr>
          <w:sz w:val="24"/>
          <w:szCs w:val="24"/>
        </w:rPr>
        <w:t>,</w:t>
      </w:r>
      <w:r>
        <w:rPr>
          <w:sz w:val="24"/>
          <w:szCs w:val="24"/>
        </w:rPr>
        <w:t xml:space="preserve"> that occurred between </w:t>
      </w:r>
      <w:r w:rsidRPr="007E77ED">
        <w:rPr>
          <w:sz w:val="24"/>
          <w:szCs w:val="24"/>
        </w:rPr>
        <w:t>2006-201</w:t>
      </w:r>
      <w:r>
        <w:rPr>
          <w:sz w:val="24"/>
          <w:szCs w:val="24"/>
        </w:rPr>
        <w:t>7</w:t>
      </w:r>
      <w:r w:rsidR="007468BA">
        <w:rPr>
          <w:sz w:val="24"/>
          <w:szCs w:val="24"/>
        </w:rPr>
        <w:t>.</w:t>
      </w:r>
    </w:p>
    <w:p w:rsidR="007468BA" w:rsidRPr="007468BA" w:rsidRDefault="007468BA" w:rsidP="007468BA">
      <w:pPr>
        <w:pStyle w:val="ListParagraph"/>
        <w:rPr>
          <w:sz w:val="24"/>
          <w:szCs w:val="24"/>
        </w:rPr>
      </w:pPr>
    </w:p>
    <w:p w:rsidR="008748F1" w:rsidRDefault="008748F1" w:rsidP="008748F1">
      <w:pPr>
        <w:pStyle w:val="ListParagraph"/>
        <w:numPr>
          <w:ilvl w:val="0"/>
          <w:numId w:val="17"/>
        </w:numPr>
        <w:jc w:val="both"/>
        <w:rPr>
          <w:sz w:val="24"/>
          <w:szCs w:val="24"/>
        </w:rPr>
      </w:pPr>
      <w:r>
        <w:rPr>
          <w:sz w:val="24"/>
          <w:szCs w:val="24"/>
        </w:rPr>
        <w:t>Three research questions were addressed:</w:t>
      </w:r>
    </w:p>
    <w:p w:rsidR="008748F1" w:rsidRDefault="008748F1" w:rsidP="000264B9">
      <w:pPr>
        <w:pStyle w:val="ListParagraph"/>
        <w:numPr>
          <w:ilvl w:val="0"/>
          <w:numId w:val="19"/>
        </w:numPr>
        <w:jc w:val="both"/>
        <w:rPr>
          <w:sz w:val="24"/>
          <w:szCs w:val="24"/>
        </w:rPr>
      </w:pPr>
      <w:r w:rsidRPr="000264B9">
        <w:rPr>
          <w:sz w:val="24"/>
          <w:szCs w:val="24"/>
        </w:rPr>
        <w:t>Assess which types of mini-public have had the most frequent and extensive impact on social policy and practice and how these organisational features influence the cit</w:t>
      </w:r>
      <w:r w:rsidR="000264B9">
        <w:rPr>
          <w:sz w:val="24"/>
          <w:szCs w:val="24"/>
        </w:rPr>
        <w:t>izens’ engagement with evidence</w:t>
      </w:r>
      <w:r w:rsidR="00917503">
        <w:rPr>
          <w:sz w:val="24"/>
          <w:szCs w:val="24"/>
        </w:rPr>
        <w:t>.</w:t>
      </w:r>
    </w:p>
    <w:p w:rsidR="000264B9" w:rsidRDefault="000264B9" w:rsidP="000264B9">
      <w:pPr>
        <w:pStyle w:val="ListParagraph"/>
        <w:ind w:left="1440"/>
        <w:jc w:val="both"/>
        <w:rPr>
          <w:sz w:val="24"/>
          <w:szCs w:val="24"/>
        </w:rPr>
      </w:pPr>
    </w:p>
    <w:p w:rsidR="000264B9" w:rsidRDefault="000264B9" w:rsidP="000264B9">
      <w:pPr>
        <w:pStyle w:val="ListParagraph"/>
        <w:ind w:left="1440"/>
        <w:jc w:val="both"/>
        <w:rPr>
          <w:sz w:val="24"/>
          <w:szCs w:val="24"/>
        </w:rPr>
      </w:pPr>
      <w:r>
        <w:rPr>
          <w:sz w:val="24"/>
          <w:szCs w:val="24"/>
        </w:rPr>
        <w:t>We found that:</w:t>
      </w:r>
    </w:p>
    <w:p w:rsidR="000264B9" w:rsidRDefault="000264B9" w:rsidP="00917503">
      <w:pPr>
        <w:pStyle w:val="ListParagraph"/>
        <w:numPr>
          <w:ilvl w:val="0"/>
          <w:numId w:val="20"/>
        </w:numPr>
        <w:jc w:val="both"/>
        <w:rPr>
          <w:sz w:val="24"/>
          <w:szCs w:val="24"/>
        </w:rPr>
      </w:pPr>
      <w:r>
        <w:rPr>
          <w:sz w:val="24"/>
          <w:szCs w:val="24"/>
        </w:rPr>
        <w:t xml:space="preserve">Citizens’ juries and consensus conferences have been most frequently used in the selected countries, however they are not more likely to deliver policy and practice impact </w:t>
      </w:r>
      <w:r w:rsidR="00917503">
        <w:rPr>
          <w:sz w:val="24"/>
          <w:szCs w:val="24"/>
        </w:rPr>
        <w:t>or influence over the participants than other types of mini-public</w:t>
      </w:r>
    </w:p>
    <w:p w:rsidR="000264B9" w:rsidRDefault="000264B9" w:rsidP="000264B9">
      <w:pPr>
        <w:pStyle w:val="ListParagraph"/>
        <w:numPr>
          <w:ilvl w:val="0"/>
          <w:numId w:val="20"/>
        </w:numPr>
        <w:jc w:val="both"/>
        <w:rPr>
          <w:sz w:val="24"/>
          <w:szCs w:val="24"/>
        </w:rPr>
      </w:pPr>
      <w:r>
        <w:rPr>
          <w:sz w:val="24"/>
          <w:szCs w:val="24"/>
        </w:rPr>
        <w:t>Most cases failed to achieve discernible policy and practice impact</w:t>
      </w:r>
    </w:p>
    <w:p w:rsidR="000264B9" w:rsidRDefault="000264B9" w:rsidP="000264B9">
      <w:pPr>
        <w:pStyle w:val="ListParagraph"/>
        <w:numPr>
          <w:ilvl w:val="0"/>
          <w:numId w:val="20"/>
        </w:numPr>
        <w:jc w:val="both"/>
        <w:rPr>
          <w:sz w:val="24"/>
          <w:szCs w:val="24"/>
        </w:rPr>
      </w:pPr>
      <w:r>
        <w:rPr>
          <w:sz w:val="24"/>
          <w:szCs w:val="24"/>
        </w:rPr>
        <w:t>Close ties to governmental or public administrative bodies in the set-up of the mini-public was the most crucial factor in determining impact, but provided no guarantee</w:t>
      </w:r>
    </w:p>
    <w:p w:rsidR="000264B9" w:rsidRPr="000264B9" w:rsidRDefault="000264B9" w:rsidP="000264B9">
      <w:pPr>
        <w:pStyle w:val="ListParagraph"/>
        <w:ind w:left="2160"/>
        <w:jc w:val="both"/>
        <w:rPr>
          <w:sz w:val="24"/>
          <w:szCs w:val="24"/>
        </w:rPr>
      </w:pPr>
    </w:p>
    <w:p w:rsidR="008748F1" w:rsidRDefault="008748F1" w:rsidP="000264B9">
      <w:pPr>
        <w:pStyle w:val="ListParagraph"/>
        <w:numPr>
          <w:ilvl w:val="0"/>
          <w:numId w:val="19"/>
        </w:numPr>
        <w:jc w:val="both"/>
        <w:rPr>
          <w:sz w:val="24"/>
          <w:szCs w:val="24"/>
        </w:rPr>
      </w:pPr>
      <w:r w:rsidRPr="008748F1">
        <w:rPr>
          <w:sz w:val="24"/>
          <w:szCs w:val="24"/>
        </w:rPr>
        <w:t>Investigate how the type and recruitment of experts and the presentation of evidence influences citizens’ engagement with evidence in mini-publics and furthermore the perceived legitimacy of the mini-public by policy makers and practitioners.</w:t>
      </w:r>
    </w:p>
    <w:p w:rsidR="00917503" w:rsidRDefault="00917503" w:rsidP="00917503">
      <w:pPr>
        <w:pStyle w:val="ListParagraph"/>
        <w:ind w:left="1440"/>
        <w:jc w:val="both"/>
        <w:rPr>
          <w:sz w:val="24"/>
          <w:szCs w:val="24"/>
        </w:rPr>
      </w:pPr>
    </w:p>
    <w:p w:rsidR="00917503" w:rsidRDefault="00917503" w:rsidP="00917503">
      <w:pPr>
        <w:pStyle w:val="ListParagraph"/>
        <w:ind w:left="1440"/>
        <w:jc w:val="both"/>
        <w:rPr>
          <w:sz w:val="24"/>
          <w:szCs w:val="24"/>
        </w:rPr>
      </w:pPr>
      <w:r>
        <w:rPr>
          <w:sz w:val="24"/>
          <w:szCs w:val="24"/>
        </w:rPr>
        <w:t>We found that:</w:t>
      </w:r>
    </w:p>
    <w:p w:rsidR="00917503" w:rsidRDefault="00917503" w:rsidP="00917503">
      <w:pPr>
        <w:pStyle w:val="ListParagraph"/>
        <w:numPr>
          <w:ilvl w:val="0"/>
          <w:numId w:val="21"/>
        </w:numPr>
        <w:jc w:val="both"/>
        <w:rPr>
          <w:sz w:val="24"/>
          <w:szCs w:val="24"/>
        </w:rPr>
      </w:pPr>
      <w:r>
        <w:rPr>
          <w:sz w:val="24"/>
          <w:szCs w:val="24"/>
        </w:rPr>
        <w:t>In  most cases the organisers of the mini-public selected the experts and witnesses</w:t>
      </w:r>
    </w:p>
    <w:p w:rsidR="00917503" w:rsidRDefault="00917503" w:rsidP="00917503">
      <w:pPr>
        <w:pStyle w:val="ListParagraph"/>
        <w:numPr>
          <w:ilvl w:val="0"/>
          <w:numId w:val="21"/>
        </w:numPr>
        <w:jc w:val="both"/>
        <w:rPr>
          <w:sz w:val="24"/>
          <w:szCs w:val="24"/>
        </w:rPr>
      </w:pPr>
      <w:r>
        <w:rPr>
          <w:sz w:val="24"/>
          <w:szCs w:val="24"/>
        </w:rPr>
        <w:t>In cases where the mini-public participants made the selection there were higher levels of trust with regards to the evidence received</w:t>
      </w:r>
    </w:p>
    <w:p w:rsidR="00917503" w:rsidRDefault="00917503" w:rsidP="00917503">
      <w:pPr>
        <w:pStyle w:val="ListParagraph"/>
        <w:numPr>
          <w:ilvl w:val="0"/>
          <w:numId w:val="21"/>
        </w:numPr>
        <w:jc w:val="both"/>
        <w:rPr>
          <w:sz w:val="24"/>
          <w:szCs w:val="24"/>
        </w:rPr>
      </w:pPr>
      <w:r>
        <w:rPr>
          <w:sz w:val="24"/>
          <w:szCs w:val="24"/>
        </w:rPr>
        <w:t>Nearly all cases followed the standard evidence provision format of written briefing materials, oral presentations, and questions and answer sessions</w:t>
      </w:r>
    </w:p>
    <w:p w:rsidR="00917503" w:rsidRPr="008748F1" w:rsidRDefault="00917503" w:rsidP="00917503">
      <w:pPr>
        <w:pStyle w:val="ListParagraph"/>
        <w:ind w:left="2160"/>
        <w:jc w:val="both"/>
        <w:rPr>
          <w:sz w:val="24"/>
          <w:szCs w:val="24"/>
        </w:rPr>
      </w:pPr>
    </w:p>
    <w:p w:rsidR="008748F1" w:rsidRDefault="008748F1" w:rsidP="000264B9">
      <w:pPr>
        <w:pStyle w:val="ListParagraph"/>
        <w:numPr>
          <w:ilvl w:val="0"/>
          <w:numId w:val="19"/>
        </w:numPr>
        <w:jc w:val="both"/>
        <w:rPr>
          <w:sz w:val="24"/>
          <w:szCs w:val="24"/>
        </w:rPr>
      </w:pPr>
      <w:r w:rsidRPr="008748F1">
        <w:rPr>
          <w:sz w:val="24"/>
          <w:szCs w:val="24"/>
        </w:rPr>
        <w:t>Analyse the extent that certain types of social policy and practice are more open to evidence synthesised by mini-publics than others.</w:t>
      </w:r>
    </w:p>
    <w:p w:rsidR="00C72289" w:rsidRDefault="00C72289" w:rsidP="00C72289">
      <w:pPr>
        <w:pStyle w:val="ListParagraph"/>
        <w:ind w:left="1440"/>
        <w:jc w:val="both"/>
        <w:rPr>
          <w:sz w:val="24"/>
          <w:szCs w:val="24"/>
        </w:rPr>
      </w:pPr>
    </w:p>
    <w:p w:rsidR="00C72289" w:rsidRDefault="00C72289" w:rsidP="00C72289">
      <w:pPr>
        <w:pStyle w:val="ListParagraph"/>
        <w:ind w:left="1440"/>
        <w:jc w:val="both"/>
        <w:rPr>
          <w:sz w:val="24"/>
          <w:szCs w:val="24"/>
        </w:rPr>
      </w:pPr>
      <w:r>
        <w:rPr>
          <w:sz w:val="24"/>
          <w:szCs w:val="24"/>
        </w:rPr>
        <w:t>We found that:</w:t>
      </w:r>
    </w:p>
    <w:p w:rsidR="00C72289" w:rsidRDefault="00C72289" w:rsidP="00C72289">
      <w:pPr>
        <w:pStyle w:val="ListParagraph"/>
        <w:ind w:left="1440"/>
        <w:jc w:val="both"/>
        <w:rPr>
          <w:sz w:val="24"/>
          <w:szCs w:val="24"/>
        </w:rPr>
      </w:pPr>
    </w:p>
    <w:p w:rsidR="00917503" w:rsidRDefault="00917503" w:rsidP="00917503">
      <w:pPr>
        <w:pStyle w:val="ListParagraph"/>
        <w:numPr>
          <w:ilvl w:val="0"/>
          <w:numId w:val="22"/>
        </w:numPr>
        <w:jc w:val="both"/>
        <w:rPr>
          <w:sz w:val="24"/>
          <w:szCs w:val="24"/>
        </w:rPr>
      </w:pPr>
      <w:r>
        <w:rPr>
          <w:sz w:val="24"/>
          <w:szCs w:val="24"/>
        </w:rPr>
        <w:t>Health policy and practice was the dominant issue area across the cases in all countries</w:t>
      </w:r>
    </w:p>
    <w:p w:rsidR="00C72289" w:rsidRDefault="00C72289" w:rsidP="00C72289">
      <w:pPr>
        <w:pStyle w:val="ListParagraph"/>
        <w:numPr>
          <w:ilvl w:val="0"/>
          <w:numId w:val="17"/>
        </w:numPr>
        <w:jc w:val="both"/>
        <w:rPr>
          <w:sz w:val="24"/>
          <w:szCs w:val="24"/>
        </w:rPr>
      </w:pPr>
      <w:r>
        <w:rPr>
          <w:sz w:val="24"/>
          <w:szCs w:val="24"/>
        </w:rPr>
        <w:lastRenderedPageBreak/>
        <w:t>A case from each country has been identified from each country that merits further investigation around the themes of evidence provision in mini-publics and social policy and practice impact:</w:t>
      </w:r>
    </w:p>
    <w:tbl>
      <w:tblPr>
        <w:tblStyle w:val="TableGrid"/>
        <w:tblW w:w="9616" w:type="dxa"/>
        <w:tblInd w:w="-5" w:type="dxa"/>
        <w:tblLook w:val="04A0" w:firstRow="1" w:lastRow="0" w:firstColumn="1" w:lastColumn="0" w:noHBand="0" w:noVBand="1"/>
      </w:tblPr>
      <w:tblGrid>
        <w:gridCol w:w="1808"/>
        <w:gridCol w:w="1926"/>
        <w:gridCol w:w="2039"/>
        <w:gridCol w:w="1803"/>
        <w:gridCol w:w="2040"/>
      </w:tblGrid>
      <w:tr w:rsidR="00C72289" w:rsidTr="00630B31">
        <w:tc>
          <w:tcPr>
            <w:tcW w:w="1808" w:type="dxa"/>
          </w:tcPr>
          <w:p w:rsidR="00C72289" w:rsidRPr="00B57114" w:rsidRDefault="00C72289" w:rsidP="00630B31">
            <w:pPr>
              <w:rPr>
                <w:b/>
                <w:i/>
                <w:color w:val="0B5484" w:themeColor="accent1" w:themeShade="80"/>
                <w:sz w:val="24"/>
                <w:szCs w:val="24"/>
              </w:rPr>
            </w:pPr>
            <w:r w:rsidRPr="00B57114">
              <w:rPr>
                <w:b/>
                <w:i/>
                <w:color w:val="0B5484" w:themeColor="accent1" w:themeShade="80"/>
                <w:sz w:val="24"/>
                <w:szCs w:val="24"/>
              </w:rPr>
              <w:t>Focus</w:t>
            </w:r>
          </w:p>
        </w:tc>
        <w:tc>
          <w:tcPr>
            <w:tcW w:w="1926" w:type="dxa"/>
          </w:tcPr>
          <w:p w:rsidR="00C72289" w:rsidRPr="00B57114" w:rsidRDefault="00C72289" w:rsidP="00630B31">
            <w:pPr>
              <w:rPr>
                <w:b/>
                <w:i/>
                <w:color w:val="0B5484" w:themeColor="accent1" w:themeShade="80"/>
                <w:sz w:val="24"/>
                <w:szCs w:val="24"/>
              </w:rPr>
            </w:pPr>
            <w:r w:rsidRPr="00B57114">
              <w:rPr>
                <w:b/>
                <w:i/>
                <w:color w:val="0B5484" w:themeColor="accent1" w:themeShade="80"/>
                <w:sz w:val="24"/>
                <w:szCs w:val="24"/>
              </w:rPr>
              <w:t>Country</w:t>
            </w:r>
          </w:p>
        </w:tc>
        <w:tc>
          <w:tcPr>
            <w:tcW w:w="2039" w:type="dxa"/>
          </w:tcPr>
          <w:p w:rsidR="00C72289" w:rsidRPr="00B57114" w:rsidRDefault="00C72289" w:rsidP="00630B31">
            <w:pPr>
              <w:rPr>
                <w:b/>
                <w:i/>
                <w:color w:val="0B5484" w:themeColor="accent1" w:themeShade="80"/>
                <w:sz w:val="24"/>
                <w:szCs w:val="24"/>
              </w:rPr>
            </w:pPr>
            <w:r w:rsidRPr="00B57114">
              <w:rPr>
                <w:b/>
                <w:i/>
                <w:color w:val="0B5484" w:themeColor="accent1" w:themeShade="80"/>
                <w:sz w:val="24"/>
                <w:szCs w:val="24"/>
              </w:rPr>
              <w:t>Mini-Public Type</w:t>
            </w:r>
          </w:p>
        </w:tc>
        <w:tc>
          <w:tcPr>
            <w:tcW w:w="1803" w:type="dxa"/>
          </w:tcPr>
          <w:p w:rsidR="00C72289" w:rsidRPr="00B57114" w:rsidRDefault="00C72289" w:rsidP="00630B31">
            <w:pPr>
              <w:rPr>
                <w:b/>
                <w:i/>
                <w:color w:val="0B5484" w:themeColor="accent1" w:themeShade="80"/>
                <w:sz w:val="24"/>
                <w:szCs w:val="24"/>
              </w:rPr>
            </w:pPr>
            <w:r w:rsidRPr="00B57114">
              <w:rPr>
                <w:b/>
                <w:i/>
                <w:color w:val="0B5484" w:themeColor="accent1" w:themeShade="80"/>
                <w:sz w:val="24"/>
                <w:szCs w:val="24"/>
              </w:rPr>
              <w:t>Policy/ Practice Area</w:t>
            </w:r>
          </w:p>
        </w:tc>
        <w:tc>
          <w:tcPr>
            <w:tcW w:w="2040" w:type="dxa"/>
          </w:tcPr>
          <w:p w:rsidR="00C72289" w:rsidRPr="00B57114" w:rsidRDefault="00C72289" w:rsidP="00630B31">
            <w:pPr>
              <w:rPr>
                <w:b/>
                <w:i/>
                <w:color w:val="0B5484" w:themeColor="accent1" w:themeShade="80"/>
                <w:sz w:val="24"/>
                <w:szCs w:val="24"/>
              </w:rPr>
            </w:pPr>
            <w:r w:rsidRPr="00B57114">
              <w:rPr>
                <w:b/>
                <w:i/>
                <w:color w:val="0B5484" w:themeColor="accent1" w:themeShade="80"/>
                <w:sz w:val="24"/>
                <w:szCs w:val="24"/>
              </w:rPr>
              <w:t>Reference</w:t>
            </w:r>
          </w:p>
        </w:tc>
      </w:tr>
      <w:tr w:rsidR="00C72289" w:rsidTr="0085256C">
        <w:tc>
          <w:tcPr>
            <w:tcW w:w="1808" w:type="dxa"/>
            <w:shd w:val="clear" w:color="auto" w:fill="ABD9F8" w:themeFill="accent1" w:themeFillTint="66"/>
          </w:tcPr>
          <w:p w:rsidR="00C72289" w:rsidRPr="000D4A6F" w:rsidRDefault="00C72289" w:rsidP="00630B31">
            <w:pPr>
              <w:rPr>
                <w:sz w:val="24"/>
                <w:szCs w:val="24"/>
              </w:rPr>
            </w:pPr>
            <w:r>
              <w:rPr>
                <w:sz w:val="24"/>
                <w:szCs w:val="24"/>
              </w:rPr>
              <w:t>Pandemic p</w:t>
            </w:r>
            <w:r w:rsidRPr="000D4A6F">
              <w:rPr>
                <w:sz w:val="24"/>
                <w:szCs w:val="24"/>
              </w:rPr>
              <w:t>lanning</w:t>
            </w:r>
          </w:p>
        </w:tc>
        <w:tc>
          <w:tcPr>
            <w:tcW w:w="1926" w:type="dxa"/>
            <w:shd w:val="clear" w:color="auto" w:fill="ABD9F8" w:themeFill="accent1" w:themeFillTint="66"/>
          </w:tcPr>
          <w:p w:rsidR="00C72289" w:rsidRPr="000D4A6F" w:rsidRDefault="00C72289" w:rsidP="00630B31">
            <w:pPr>
              <w:rPr>
                <w:sz w:val="24"/>
                <w:szCs w:val="24"/>
              </w:rPr>
            </w:pPr>
            <w:r w:rsidRPr="000D4A6F">
              <w:rPr>
                <w:sz w:val="24"/>
                <w:szCs w:val="24"/>
              </w:rPr>
              <w:t>Australia</w:t>
            </w:r>
          </w:p>
        </w:tc>
        <w:tc>
          <w:tcPr>
            <w:tcW w:w="2039" w:type="dxa"/>
            <w:shd w:val="clear" w:color="auto" w:fill="ABD9F8" w:themeFill="accent1" w:themeFillTint="66"/>
          </w:tcPr>
          <w:p w:rsidR="00C72289" w:rsidRPr="000D4A6F" w:rsidRDefault="00C72289" w:rsidP="00630B31">
            <w:pPr>
              <w:rPr>
                <w:sz w:val="24"/>
                <w:szCs w:val="24"/>
              </w:rPr>
            </w:pPr>
            <w:r w:rsidRPr="000D4A6F">
              <w:rPr>
                <w:sz w:val="24"/>
                <w:szCs w:val="24"/>
              </w:rPr>
              <w:t>Citizens’ Jury</w:t>
            </w:r>
          </w:p>
        </w:tc>
        <w:tc>
          <w:tcPr>
            <w:tcW w:w="1803" w:type="dxa"/>
            <w:shd w:val="clear" w:color="auto" w:fill="ABD9F8" w:themeFill="accent1" w:themeFillTint="66"/>
          </w:tcPr>
          <w:p w:rsidR="00C72289" w:rsidRPr="000D4A6F" w:rsidRDefault="00C72289" w:rsidP="00630B31">
            <w:pPr>
              <w:rPr>
                <w:sz w:val="24"/>
                <w:szCs w:val="24"/>
              </w:rPr>
            </w:pPr>
            <w:r w:rsidRPr="000D4A6F">
              <w:rPr>
                <w:sz w:val="24"/>
                <w:szCs w:val="24"/>
              </w:rPr>
              <w:t>Health</w:t>
            </w:r>
          </w:p>
        </w:tc>
        <w:tc>
          <w:tcPr>
            <w:tcW w:w="2040" w:type="dxa"/>
            <w:shd w:val="clear" w:color="auto" w:fill="ABD9F8" w:themeFill="accent1" w:themeFillTint="66"/>
          </w:tcPr>
          <w:p w:rsidR="00C72289" w:rsidRPr="000D4A6F" w:rsidRDefault="00C72289" w:rsidP="00630B31">
            <w:pPr>
              <w:rPr>
                <w:sz w:val="24"/>
                <w:szCs w:val="24"/>
              </w:rPr>
            </w:pPr>
            <w:proofErr w:type="spellStart"/>
            <w:r w:rsidRPr="000D4A6F">
              <w:rPr>
                <w:sz w:val="24"/>
                <w:szCs w:val="24"/>
              </w:rPr>
              <w:t>Braunack</w:t>
            </w:r>
            <w:proofErr w:type="spellEnd"/>
            <w:r w:rsidRPr="000D4A6F">
              <w:rPr>
                <w:sz w:val="24"/>
                <w:szCs w:val="24"/>
              </w:rPr>
              <w:t>-Mayer et al., 2008</w:t>
            </w:r>
          </w:p>
        </w:tc>
      </w:tr>
      <w:tr w:rsidR="00C72289" w:rsidTr="0085256C">
        <w:tc>
          <w:tcPr>
            <w:tcW w:w="1808" w:type="dxa"/>
            <w:shd w:val="clear" w:color="auto" w:fill="FFFFFF" w:themeFill="background1"/>
          </w:tcPr>
          <w:p w:rsidR="00C72289" w:rsidRPr="000D4A6F" w:rsidRDefault="00C72289" w:rsidP="00630B31">
            <w:pPr>
              <w:rPr>
                <w:sz w:val="24"/>
                <w:szCs w:val="24"/>
              </w:rPr>
            </w:pPr>
            <w:r w:rsidRPr="000D4A6F">
              <w:rPr>
                <w:sz w:val="24"/>
                <w:szCs w:val="24"/>
              </w:rPr>
              <w:t>Physical activity</w:t>
            </w:r>
          </w:p>
        </w:tc>
        <w:tc>
          <w:tcPr>
            <w:tcW w:w="1926" w:type="dxa"/>
            <w:shd w:val="clear" w:color="auto" w:fill="FFFFFF" w:themeFill="background1"/>
          </w:tcPr>
          <w:p w:rsidR="00C72289" w:rsidRPr="000D4A6F" w:rsidRDefault="00C72289" w:rsidP="00630B31">
            <w:pPr>
              <w:rPr>
                <w:sz w:val="24"/>
                <w:szCs w:val="24"/>
              </w:rPr>
            </w:pPr>
            <w:r w:rsidRPr="000D4A6F">
              <w:rPr>
                <w:sz w:val="24"/>
                <w:szCs w:val="24"/>
              </w:rPr>
              <w:t>Denmark</w:t>
            </w:r>
          </w:p>
        </w:tc>
        <w:tc>
          <w:tcPr>
            <w:tcW w:w="2039" w:type="dxa"/>
            <w:shd w:val="clear" w:color="auto" w:fill="FFFFFF" w:themeFill="background1"/>
          </w:tcPr>
          <w:p w:rsidR="00C72289" w:rsidRPr="000D4A6F" w:rsidRDefault="00C72289" w:rsidP="00630B31">
            <w:pPr>
              <w:rPr>
                <w:sz w:val="24"/>
                <w:szCs w:val="24"/>
              </w:rPr>
            </w:pPr>
            <w:r w:rsidRPr="000D4A6F">
              <w:rPr>
                <w:sz w:val="24"/>
                <w:szCs w:val="24"/>
              </w:rPr>
              <w:t>Consensus Conference</w:t>
            </w:r>
          </w:p>
        </w:tc>
        <w:tc>
          <w:tcPr>
            <w:tcW w:w="1803" w:type="dxa"/>
            <w:shd w:val="clear" w:color="auto" w:fill="FFFFFF" w:themeFill="background1"/>
          </w:tcPr>
          <w:p w:rsidR="00C72289" w:rsidRPr="000D4A6F" w:rsidRDefault="00C72289" w:rsidP="00630B31">
            <w:pPr>
              <w:rPr>
                <w:sz w:val="24"/>
                <w:szCs w:val="24"/>
              </w:rPr>
            </w:pPr>
            <w:r w:rsidRPr="000D4A6F">
              <w:rPr>
                <w:sz w:val="24"/>
                <w:szCs w:val="24"/>
              </w:rPr>
              <w:t>Health</w:t>
            </w:r>
          </w:p>
        </w:tc>
        <w:tc>
          <w:tcPr>
            <w:tcW w:w="2040" w:type="dxa"/>
            <w:shd w:val="clear" w:color="auto" w:fill="FFFFFF" w:themeFill="background1"/>
          </w:tcPr>
          <w:p w:rsidR="00C72289" w:rsidRPr="000D4A6F" w:rsidRDefault="00C72289" w:rsidP="00630B31">
            <w:pPr>
              <w:rPr>
                <w:sz w:val="24"/>
                <w:szCs w:val="24"/>
              </w:rPr>
            </w:pPr>
            <w:proofErr w:type="spellStart"/>
            <w:r w:rsidRPr="000D4A6F">
              <w:rPr>
                <w:sz w:val="24"/>
                <w:szCs w:val="24"/>
              </w:rPr>
              <w:t>Bangsbo</w:t>
            </w:r>
            <w:proofErr w:type="spellEnd"/>
            <w:r w:rsidRPr="000D4A6F">
              <w:rPr>
                <w:sz w:val="24"/>
                <w:szCs w:val="24"/>
              </w:rPr>
              <w:t xml:space="preserve"> 2016</w:t>
            </w:r>
          </w:p>
        </w:tc>
      </w:tr>
      <w:tr w:rsidR="00C72289" w:rsidTr="0085256C">
        <w:tc>
          <w:tcPr>
            <w:tcW w:w="1808" w:type="dxa"/>
            <w:shd w:val="clear" w:color="auto" w:fill="ABD9F8" w:themeFill="accent1" w:themeFillTint="66"/>
          </w:tcPr>
          <w:p w:rsidR="00C72289" w:rsidRPr="000D4A6F" w:rsidRDefault="00C72289" w:rsidP="00630B31">
            <w:pPr>
              <w:rPr>
                <w:sz w:val="24"/>
                <w:szCs w:val="24"/>
              </w:rPr>
            </w:pPr>
            <w:r w:rsidRPr="000D4A6F">
              <w:rPr>
                <w:sz w:val="24"/>
                <w:szCs w:val="24"/>
              </w:rPr>
              <w:t>Health care reform</w:t>
            </w:r>
          </w:p>
        </w:tc>
        <w:tc>
          <w:tcPr>
            <w:tcW w:w="1926" w:type="dxa"/>
            <w:shd w:val="clear" w:color="auto" w:fill="ABD9F8" w:themeFill="accent1" w:themeFillTint="66"/>
          </w:tcPr>
          <w:p w:rsidR="00C72289" w:rsidRPr="000D4A6F" w:rsidRDefault="00C72289" w:rsidP="00630B31">
            <w:pPr>
              <w:rPr>
                <w:sz w:val="24"/>
                <w:szCs w:val="24"/>
              </w:rPr>
            </w:pPr>
            <w:r w:rsidRPr="000D4A6F">
              <w:rPr>
                <w:sz w:val="24"/>
                <w:szCs w:val="24"/>
              </w:rPr>
              <w:t>Finland</w:t>
            </w:r>
          </w:p>
        </w:tc>
        <w:tc>
          <w:tcPr>
            <w:tcW w:w="2039" w:type="dxa"/>
            <w:shd w:val="clear" w:color="auto" w:fill="ABD9F8" w:themeFill="accent1" w:themeFillTint="66"/>
          </w:tcPr>
          <w:p w:rsidR="00C72289" w:rsidRPr="000D4A6F" w:rsidRDefault="00C72289" w:rsidP="00630B31">
            <w:pPr>
              <w:rPr>
                <w:sz w:val="24"/>
                <w:szCs w:val="24"/>
              </w:rPr>
            </w:pPr>
            <w:r w:rsidRPr="000D4A6F">
              <w:rPr>
                <w:sz w:val="24"/>
                <w:szCs w:val="24"/>
              </w:rPr>
              <w:t>Consensus Conference</w:t>
            </w:r>
          </w:p>
        </w:tc>
        <w:tc>
          <w:tcPr>
            <w:tcW w:w="1803" w:type="dxa"/>
            <w:shd w:val="clear" w:color="auto" w:fill="ABD9F8" w:themeFill="accent1" w:themeFillTint="66"/>
          </w:tcPr>
          <w:p w:rsidR="00C72289" w:rsidRPr="000D4A6F" w:rsidRDefault="00C72289" w:rsidP="00630B31">
            <w:pPr>
              <w:rPr>
                <w:sz w:val="24"/>
                <w:szCs w:val="24"/>
              </w:rPr>
            </w:pPr>
            <w:r w:rsidRPr="000D4A6F">
              <w:rPr>
                <w:sz w:val="24"/>
                <w:szCs w:val="24"/>
              </w:rPr>
              <w:t xml:space="preserve">Health </w:t>
            </w:r>
          </w:p>
        </w:tc>
        <w:tc>
          <w:tcPr>
            <w:tcW w:w="2040" w:type="dxa"/>
            <w:shd w:val="clear" w:color="auto" w:fill="ABD9F8" w:themeFill="accent1" w:themeFillTint="66"/>
          </w:tcPr>
          <w:p w:rsidR="00C72289" w:rsidRPr="000D4A6F" w:rsidRDefault="00C72289" w:rsidP="00630B31">
            <w:pPr>
              <w:rPr>
                <w:sz w:val="24"/>
                <w:szCs w:val="24"/>
              </w:rPr>
            </w:pPr>
            <w:proofErr w:type="spellStart"/>
            <w:r w:rsidRPr="000D4A6F">
              <w:rPr>
                <w:sz w:val="24"/>
                <w:szCs w:val="24"/>
              </w:rPr>
              <w:t>Raisio</w:t>
            </w:r>
            <w:proofErr w:type="spellEnd"/>
            <w:r w:rsidRPr="000D4A6F">
              <w:rPr>
                <w:sz w:val="24"/>
                <w:szCs w:val="24"/>
              </w:rPr>
              <w:t xml:space="preserve"> 2010</w:t>
            </w:r>
          </w:p>
        </w:tc>
      </w:tr>
      <w:tr w:rsidR="00C72289" w:rsidTr="0085256C">
        <w:tc>
          <w:tcPr>
            <w:tcW w:w="1808" w:type="dxa"/>
            <w:shd w:val="clear" w:color="auto" w:fill="FFFFFF" w:themeFill="background1"/>
          </w:tcPr>
          <w:p w:rsidR="00C72289" w:rsidRPr="000D4A6F" w:rsidRDefault="00C72289" w:rsidP="00630B31">
            <w:pPr>
              <w:rPr>
                <w:sz w:val="24"/>
                <w:szCs w:val="24"/>
              </w:rPr>
            </w:pPr>
            <w:r w:rsidRPr="000D4A6F">
              <w:rPr>
                <w:sz w:val="24"/>
                <w:szCs w:val="24"/>
              </w:rPr>
              <w:t>Teaching and learning in schools</w:t>
            </w:r>
          </w:p>
        </w:tc>
        <w:tc>
          <w:tcPr>
            <w:tcW w:w="1926" w:type="dxa"/>
            <w:shd w:val="clear" w:color="auto" w:fill="FFFFFF" w:themeFill="background1"/>
          </w:tcPr>
          <w:p w:rsidR="00C72289" w:rsidRPr="000D4A6F" w:rsidRDefault="00C72289" w:rsidP="00630B31">
            <w:pPr>
              <w:rPr>
                <w:sz w:val="24"/>
                <w:szCs w:val="24"/>
              </w:rPr>
            </w:pPr>
            <w:r w:rsidRPr="000D4A6F">
              <w:rPr>
                <w:sz w:val="24"/>
                <w:szCs w:val="24"/>
              </w:rPr>
              <w:t>France</w:t>
            </w:r>
          </w:p>
        </w:tc>
        <w:tc>
          <w:tcPr>
            <w:tcW w:w="2039" w:type="dxa"/>
            <w:shd w:val="clear" w:color="auto" w:fill="FFFFFF" w:themeFill="background1"/>
          </w:tcPr>
          <w:p w:rsidR="00C72289" w:rsidRPr="000D4A6F" w:rsidRDefault="00C72289" w:rsidP="00630B31">
            <w:pPr>
              <w:rPr>
                <w:sz w:val="24"/>
                <w:szCs w:val="24"/>
              </w:rPr>
            </w:pPr>
            <w:r w:rsidRPr="000D4A6F">
              <w:rPr>
                <w:sz w:val="24"/>
                <w:szCs w:val="24"/>
              </w:rPr>
              <w:t>Consensus Conference</w:t>
            </w:r>
          </w:p>
        </w:tc>
        <w:tc>
          <w:tcPr>
            <w:tcW w:w="1803" w:type="dxa"/>
            <w:shd w:val="clear" w:color="auto" w:fill="FFFFFF" w:themeFill="background1"/>
          </w:tcPr>
          <w:p w:rsidR="00C72289" w:rsidRPr="000D4A6F" w:rsidRDefault="00C72289" w:rsidP="00630B31">
            <w:pPr>
              <w:rPr>
                <w:sz w:val="24"/>
                <w:szCs w:val="24"/>
              </w:rPr>
            </w:pPr>
            <w:r w:rsidRPr="000D4A6F">
              <w:rPr>
                <w:sz w:val="24"/>
                <w:szCs w:val="24"/>
              </w:rPr>
              <w:t>Education</w:t>
            </w:r>
          </w:p>
        </w:tc>
        <w:tc>
          <w:tcPr>
            <w:tcW w:w="2040" w:type="dxa"/>
            <w:shd w:val="clear" w:color="auto" w:fill="FFFFFF" w:themeFill="background1"/>
          </w:tcPr>
          <w:p w:rsidR="00C72289" w:rsidRPr="000D4A6F" w:rsidRDefault="00C72289" w:rsidP="00630B31">
            <w:pPr>
              <w:rPr>
                <w:sz w:val="24"/>
                <w:szCs w:val="24"/>
              </w:rPr>
            </w:pPr>
            <w:r w:rsidRPr="000D4A6F">
              <w:rPr>
                <w:sz w:val="24"/>
                <w:szCs w:val="24"/>
              </w:rPr>
              <w:t>Rey et al. 2016</w:t>
            </w:r>
          </w:p>
        </w:tc>
      </w:tr>
      <w:tr w:rsidR="00C72289" w:rsidTr="0085256C">
        <w:tc>
          <w:tcPr>
            <w:tcW w:w="1808" w:type="dxa"/>
            <w:shd w:val="clear" w:color="auto" w:fill="ABD9F8" w:themeFill="accent1" w:themeFillTint="66"/>
          </w:tcPr>
          <w:p w:rsidR="00C72289" w:rsidRPr="000D4A6F" w:rsidRDefault="00C72289" w:rsidP="00630B31">
            <w:pPr>
              <w:rPr>
                <w:sz w:val="24"/>
                <w:szCs w:val="24"/>
              </w:rPr>
            </w:pPr>
            <w:bookmarkStart w:id="0" w:name="_Hlk517855860"/>
            <w:r w:rsidRPr="000D4A6F">
              <w:rPr>
                <w:sz w:val="24"/>
                <w:szCs w:val="24"/>
              </w:rPr>
              <w:t>Arthritis</w:t>
            </w:r>
          </w:p>
        </w:tc>
        <w:tc>
          <w:tcPr>
            <w:tcW w:w="1926" w:type="dxa"/>
            <w:shd w:val="clear" w:color="auto" w:fill="ABD9F8" w:themeFill="accent1" w:themeFillTint="66"/>
          </w:tcPr>
          <w:p w:rsidR="00C72289" w:rsidRPr="000D4A6F" w:rsidRDefault="00C72289" w:rsidP="00630B31">
            <w:pPr>
              <w:rPr>
                <w:sz w:val="24"/>
                <w:szCs w:val="24"/>
              </w:rPr>
            </w:pPr>
            <w:r w:rsidRPr="000D4A6F">
              <w:rPr>
                <w:sz w:val="24"/>
                <w:szCs w:val="24"/>
              </w:rPr>
              <w:t>Germany</w:t>
            </w:r>
          </w:p>
        </w:tc>
        <w:tc>
          <w:tcPr>
            <w:tcW w:w="2039" w:type="dxa"/>
            <w:shd w:val="clear" w:color="auto" w:fill="ABD9F8" w:themeFill="accent1" w:themeFillTint="66"/>
          </w:tcPr>
          <w:p w:rsidR="00C72289" w:rsidRPr="000D4A6F" w:rsidRDefault="00C72289" w:rsidP="00630B31">
            <w:pPr>
              <w:rPr>
                <w:sz w:val="24"/>
                <w:szCs w:val="24"/>
              </w:rPr>
            </w:pPr>
            <w:r w:rsidRPr="000D4A6F">
              <w:rPr>
                <w:sz w:val="24"/>
                <w:szCs w:val="24"/>
              </w:rPr>
              <w:t>Citizens’ Jury</w:t>
            </w:r>
          </w:p>
        </w:tc>
        <w:tc>
          <w:tcPr>
            <w:tcW w:w="1803" w:type="dxa"/>
            <w:shd w:val="clear" w:color="auto" w:fill="ABD9F8" w:themeFill="accent1" w:themeFillTint="66"/>
          </w:tcPr>
          <w:p w:rsidR="00C72289" w:rsidRPr="000D4A6F" w:rsidRDefault="00C72289" w:rsidP="00630B31">
            <w:pPr>
              <w:rPr>
                <w:sz w:val="24"/>
                <w:szCs w:val="24"/>
              </w:rPr>
            </w:pPr>
            <w:r w:rsidRPr="000D4A6F">
              <w:rPr>
                <w:sz w:val="24"/>
                <w:szCs w:val="24"/>
              </w:rPr>
              <w:t>Health</w:t>
            </w:r>
          </w:p>
        </w:tc>
        <w:tc>
          <w:tcPr>
            <w:tcW w:w="2040" w:type="dxa"/>
            <w:shd w:val="clear" w:color="auto" w:fill="ABD9F8" w:themeFill="accent1" w:themeFillTint="66"/>
          </w:tcPr>
          <w:p w:rsidR="00C72289" w:rsidRPr="000D4A6F" w:rsidRDefault="00C72289" w:rsidP="00630B31">
            <w:pPr>
              <w:rPr>
                <w:sz w:val="24"/>
                <w:szCs w:val="24"/>
              </w:rPr>
            </w:pPr>
            <w:r w:rsidRPr="000D4A6F">
              <w:rPr>
                <w:sz w:val="24"/>
                <w:szCs w:val="24"/>
              </w:rPr>
              <w:t>Fletcher 2017</w:t>
            </w:r>
          </w:p>
        </w:tc>
      </w:tr>
      <w:bookmarkEnd w:id="0"/>
      <w:tr w:rsidR="00C72289" w:rsidTr="0085256C">
        <w:tc>
          <w:tcPr>
            <w:tcW w:w="1808" w:type="dxa"/>
            <w:shd w:val="clear" w:color="auto" w:fill="FFFFFF" w:themeFill="background1"/>
          </w:tcPr>
          <w:p w:rsidR="00C72289" w:rsidRPr="000D4A6F" w:rsidRDefault="00C72289" w:rsidP="00630B31">
            <w:pPr>
              <w:rPr>
                <w:sz w:val="24"/>
                <w:szCs w:val="24"/>
              </w:rPr>
            </w:pPr>
            <w:r w:rsidRPr="000D4A6F">
              <w:rPr>
                <w:sz w:val="24"/>
                <w:szCs w:val="24"/>
              </w:rPr>
              <w:t>Breast cancer screening</w:t>
            </w:r>
          </w:p>
        </w:tc>
        <w:tc>
          <w:tcPr>
            <w:tcW w:w="1926" w:type="dxa"/>
            <w:shd w:val="clear" w:color="auto" w:fill="FFFFFF" w:themeFill="background1"/>
          </w:tcPr>
          <w:p w:rsidR="00C72289" w:rsidRPr="000D4A6F" w:rsidRDefault="00C72289" w:rsidP="00630B31">
            <w:pPr>
              <w:rPr>
                <w:sz w:val="24"/>
                <w:szCs w:val="24"/>
              </w:rPr>
            </w:pPr>
            <w:r w:rsidRPr="000D4A6F">
              <w:rPr>
                <w:sz w:val="24"/>
                <w:szCs w:val="24"/>
              </w:rPr>
              <w:t>New Zealand</w:t>
            </w:r>
          </w:p>
        </w:tc>
        <w:tc>
          <w:tcPr>
            <w:tcW w:w="2039" w:type="dxa"/>
            <w:shd w:val="clear" w:color="auto" w:fill="FFFFFF" w:themeFill="background1"/>
          </w:tcPr>
          <w:p w:rsidR="00C72289" w:rsidRPr="000D4A6F" w:rsidRDefault="00C72289" w:rsidP="00630B31">
            <w:pPr>
              <w:rPr>
                <w:sz w:val="24"/>
                <w:szCs w:val="24"/>
              </w:rPr>
            </w:pPr>
            <w:r w:rsidRPr="000D4A6F">
              <w:rPr>
                <w:sz w:val="24"/>
                <w:szCs w:val="24"/>
              </w:rPr>
              <w:t>Citizens’ Jury</w:t>
            </w:r>
          </w:p>
        </w:tc>
        <w:tc>
          <w:tcPr>
            <w:tcW w:w="1803" w:type="dxa"/>
            <w:shd w:val="clear" w:color="auto" w:fill="FFFFFF" w:themeFill="background1"/>
          </w:tcPr>
          <w:p w:rsidR="00C72289" w:rsidRPr="000D4A6F" w:rsidRDefault="00C72289" w:rsidP="00630B31">
            <w:pPr>
              <w:rPr>
                <w:sz w:val="24"/>
                <w:szCs w:val="24"/>
              </w:rPr>
            </w:pPr>
            <w:r w:rsidRPr="000D4A6F">
              <w:rPr>
                <w:sz w:val="24"/>
                <w:szCs w:val="24"/>
              </w:rPr>
              <w:t>Health</w:t>
            </w:r>
          </w:p>
        </w:tc>
        <w:tc>
          <w:tcPr>
            <w:tcW w:w="2040" w:type="dxa"/>
            <w:shd w:val="clear" w:color="auto" w:fill="FFFFFF" w:themeFill="background1"/>
          </w:tcPr>
          <w:p w:rsidR="00C72289" w:rsidRPr="000D4A6F" w:rsidRDefault="00C72289" w:rsidP="00630B31">
            <w:pPr>
              <w:rPr>
                <w:sz w:val="24"/>
                <w:szCs w:val="24"/>
              </w:rPr>
            </w:pPr>
            <w:r w:rsidRPr="000D4A6F">
              <w:rPr>
                <w:sz w:val="24"/>
                <w:szCs w:val="24"/>
              </w:rPr>
              <w:t>Paul et al., 2008</w:t>
            </w:r>
          </w:p>
        </w:tc>
      </w:tr>
      <w:tr w:rsidR="00C72289" w:rsidTr="0085256C">
        <w:tc>
          <w:tcPr>
            <w:tcW w:w="1808" w:type="dxa"/>
            <w:shd w:val="clear" w:color="auto" w:fill="ABD9F8" w:themeFill="accent1" w:themeFillTint="66"/>
          </w:tcPr>
          <w:p w:rsidR="00C72289" w:rsidRPr="000D4A6F" w:rsidRDefault="00C72289" w:rsidP="00630B31">
            <w:pPr>
              <w:rPr>
                <w:sz w:val="24"/>
                <w:szCs w:val="24"/>
              </w:rPr>
            </w:pPr>
            <w:r w:rsidRPr="000D4A6F">
              <w:rPr>
                <w:sz w:val="24"/>
                <w:szCs w:val="24"/>
              </w:rPr>
              <w:t>Land-use planning process</w:t>
            </w:r>
          </w:p>
        </w:tc>
        <w:tc>
          <w:tcPr>
            <w:tcW w:w="1926" w:type="dxa"/>
            <w:shd w:val="clear" w:color="auto" w:fill="ABD9F8" w:themeFill="accent1" w:themeFillTint="66"/>
          </w:tcPr>
          <w:p w:rsidR="00C72289" w:rsidRPr="000D4A6F" w:rsidRDefault="00C72289" w:rsidP="00630B31">
            <w:pPr>
              <w:rPr>
                <w:sz w:val="24"/>
                <w:szCs w:val="24"/>
              </w:rPr>
            </w:pPr>
            <w:r w:rsidRPr="000D4A6F">
              <w:rPr>
                <w:sz w:val="24"/>
                <w:szCs w:val="24"/>
              </w:rPr>
              <w:t>The Netherlands</w:t>
            </w:r>
          </w:p>
        </w:tc>
        <w:tc>
          <w:tcPr>
            <w:tcW w:w="2039" w:type="dxa"/>
            <w:shd w:val="clear" w:color="auto" w:fill="ABD9F8" w:themeFill="accent1" w:themeFillTint="66"/>
          </w:tcPr>
          <w:p w:rsidR="00C72289" w:rsidRPr="000D4A6F" w:rsidRDefault="00C72289" w:rsidP="00630B31">
            <w:pPr>
              <w:rPr>
                <w:sz w:val="24"/>
                <w:szCs w:val="24"/>
              </w:rPr>
            </w:pPr>
            <w:r w:rsidRPr="000D4A6F">
              <w:rPr>
                <w:sz w:val="24"/>
                <w:szCs w:val="24"/>
              </w:rPr>
              <w:t>Citizens’ Jury</w:t>
            </w:r>
          </w:p>
        </w:tc>
        <w:tc>
          <w:tcPr>
            <w:tcW w:w="1803" w:type="dxa"/>
            <w:shd w:val="clear" w:color="auto" w:fill="ABD9F8" w:themeFill="accent1" w:themeFillTint="66"/>
          </w:tcPr>
          <w:p w:rsidR="00C72289" w:rsidRPr="000D4A6F" w:rsidRDefault="00C72289" w:rsidP="00630B31">
            <w:pPr>
              <w:rPr>
                <w:sz w:val="24"/>
                <w:szCs w:val="24"/>
              </w:rPr>
            </w:pPr>
            <w:r w:rsidRPr="000D4A6F">
              <w:rPr>
                <w:sz w:val="24"/>
                <w:szCs w:val="24"/>
              </w:rPr>
              <w:t>Housing</w:t>
            </w:r>
          </w:p>
        </w:tc>
        <w:tc>
          <w:tcPr>
            <w:tcW w:w="2040" w:type="dxa"/>
            <w:shd w:val="clear" w:color="auto" w:fill="ABD9F8" w:themeFill="accent1" w:themeFillTint="66"/>
          </w:tcPr>
          <w:p w:rsidR="00C72289" w:rsidRPr="000D4A6F" w:rsidRDefault="00C72289" w:rsidP="00630B31">
            <w:pPr>
              <w:rPr>
                <w:sz w:val="24"/>
                <w:szCs w:val="24"/>
              </w:rPr>
            </w:pPr>
            <w:proofErr w:type="spellStart"/>
            <w:r w:rsidRPr="000D4A6F">
              <w:rPr>
                <w:sz w:val="24"/>
                <w:szCs w:val="24"/>
              </w:rPr>
              <w:t>Huitema</w:t>
            </w:r>
            <w:proofErr w:type="spellEnd"/>
            <w:r w:rsidRPr="000D4A6F">
              <w:rPr>
                <w:sz w:val="24"/>
                <w:szCs w:val="24"/>
              </w:rPr>
              <w:t xml:space="preserve"> et al. 2007</w:t>
            </w:r>
          </w:p>
        </w:tc>
      </w:tr>
      <w:tr w:rsidR="00C72289" w:rsidTr="00ED581B">
        <w:tc>
          <w:tcPr>
            <w:tcW w:w="1808" w:type="dxa"/>
            <w:shd w:val="clear" w:color="auto" w:fill="FFFFFF" w:themeFill="background1"/>
          </w:tcPr>
          <w:p w:rsidR="00C72289" w:rsidRPr="000D4A6F" w:rsidRDefault="00C72289" w:rsidP="00ED581B">
            <w:pPr>
              <w:shd w:val="clear" w:color="auto" w:fill="FFFFFF" w:themeFill="background1"/>
              <w:rPr>
                <w:sz w:val="24"/>
                <w:szCs w:val="24"/>
              </w:rPr>
            </w:pPr>
            <w:r w:rsidRPr="000D4A6F">
              <w:rPr>
                <w:sz w:val="24"/>
                <w:szCs w:val="24"/>
              </w:rPr>
              <w:t>Schools</w:t>
            </w:r>
          </w:p>
        </w:tc>
        <w:tc>
          <w:tcPr>
            <w:tcW w:w="1926" w:type="dxa"/>
            <w:shd w:val="clear" w:color="auto" w:fill="FFFFFF" w:themeFill="background1"/>
          </w:tcPr>
          <w:p w:rsidR="00C72289" w:rsidRPr="000D4A6F" w:rsidRDefault="00C72289" w:rsidP="00ED581B">
            <w:pPr>
              <w:shd w:val="clear" w:color="auto" w:fill="FFFFFF" w:themeFill="background1"/>
              <w:rPr>
                <w:sz w:val="24"/>
                <w:szCs w:val="24"/>
              </w:rPr>
            </w:pPr>
            <w:r w:rsidRPr="000D4A6F">
              <w:rPr>
                <w:sz w:val="24"/>
                <w:szCs w:val="24"/>
              </w:rPr>
              <w:t>UK</w:t>
            </w:r>
          </w:p>
        </w:tc>
        <w:tc>
          <w:tcPr>
            <w:tcW w:w="2039" w:type="dxa"/>
            <w:shd w:val="clear" w:color="auto" w:fill="FFFFFF" w:themeFill="background1"/>
          </w:tcPr>
          <w:p w:rsidR="00C72289" w:rsidRPr="000D4A6F" w:rsidRDefault="00C72289" w:rsidP="00ED581B">
            <w:pPr>
              <w:shd w:val="clear" w:color="auto" w:fill="FFFFFF" w:themeFill="background1"/>
              <w:rPr>
                <w:sz w:val="24"/>
                <w:szCs w:val="24"/>
              </w:rPr>
            </w:pPr>
            <w:r w:rsidRPr="000D4A6F">
              <w:rPr>
                <w:sz w:val="24"/>
                <w:szCs w:val="24"/>
              </w:rPr>
              <w:t>Deliberative Poll</w:t>
            </w:r>
          </w:p>
        </w:tc>
        <w:tc>
          <w:tcPr>
            <w:tcW w:w="1803" w:type="dxa"/>
            <w:shd w:val="clear" w:color="auto" w:fill="FFFFFF" w:themeFill="background1"/>
          </w:tcPr>
          <w:p w:rsidR="00C72289" w:rsidRPr="000D4A6F" w:rsidRDefault="00C72289" w:rsidP="00ED581B">
            <w:pPr>
              <w:shd w:val="clear" w:color="auto" w:fill="FFFFFF" w:themeFill="background1"/>
              <w:rPr>
                <w:sz w:val="24"/>
                <w:szCs w:val="24"/>
              </w:rPr>
            </w:pPr>
            <w:r w:rsidRPr="000D4A6F">
              <w:rPr>
                <w:sz w:val="24"/>
                <w:szCs w:val="24"/>
              </w:rPr>
              <w:t>Education</w:t>
            </w:r>
          </w:p>
        </w:tc>
        <w:tc>
          <w:tcPr>
            <w:tcW w:w="2040" w:type="dxa"/>
            <w:shd w:val="clear" w:color="auto" w:fill="FFFFFF" w:themeFill="background1"/>
          </w:tcPr>
          <w:p w:rsidR="00C72289" w:rsidRPr="000D4A6F" w:rsidRDefault="00C72289" w:rsidP="00ED581B">
            <w:pPr>
              <w:shd w:val="clear" w:color="auto" w:fill="FFFFFF" w:themeFill="background1"/>
              <w:rPr>
                <w:sz w:val="24"/>
                <w:szCs w:val="24"/>
              </w:rPr>
            </w:pPr>
            <w:r w:rsidRPr="000D4A6F">
              <w:rPr>
                <w:sz w:val="24"/>
                <w:szCs w:val="24"/>
              </w:rPr>
              <w:t>Luskin et al. 2014</w:t>
            </w:r>
          </w:p>
        </w:tc>
      </w:tr>
    </w:tbl>
    <w:p w:rsidR="00C72289" w:rsidRDefault="00C72289" w:rsidP="00ED581B">
      <w:pPr>
        <w:shd w:val="clear" w:color="auto" w:fill="FFFFFF" w:themeFill="background1"/>
        <w:jc w:val="both"/>
        <w:rPr>
          <w:sz w:val="24"/>
          <w:szCs w:val="24"/>
        </w:rPr>
      </w:pPr>
    </w:p>
    <w:p w:rsidR="00C72289" w:rsidRDefault="00C72289" w:rsidP="00C72289">
      <w:pPr>
        <w:pStyle w:val="ListParagraph"/>
        <w:numPr>
          <w:ilvl w:val="0"/>
          <w:numId w:val="17"/>
        </w:numPr>
        <w:jc w:val="both"/>
        <w:rPr>
          <w:sz w:val="24"/>
          <w:szCs w:val="24"/>
        </w:rPr>
      </w:pPr>
      <w:r>
        <w:rPr>
          <w:sz w:val="24"/>
          <w:szCs w:val="24"/>
        </w:rPr>
        <w:t>These cases should be researched in greater detail through qualitative research methods such as interviews with the mini-public organisers, participating experts</w:t>
      </w:r>
      <w:r w:rsidR="00724157">
        <w:rPr>
          <w:sz w:val="24"/>
          <w:szCs w:val="24"/>
        </w:rPr>
        <w:t>,</w:t>
      </w:r>
      <w:r>
        <w:rPr>
          <w:sz w:val="24"/>
          <w:szCs w:val="24"/>
        </w:rPr>
        <w:t xml:space="preserve"> and key stakeholders.</w:t>
      </w:r>
    </w:p>
    <w:p w:rsidR="007468BA" w:rsidRDefault="007468BA" w:rsidP="007468BA">
      <w:pPr>
        <w:pStyle w:val="ListParagraph"/>
        <w:jc w:val="both"/>
        <w:rPr>
          <w:sz w:val="24"/>
          <w:szCs w:val="24"/>
        </w:rPr>
      </w:pPr>
    </w:p>
    <w:p w:rsidR="00C72289" w:rsidRDefault="00C72289" w:rsidP="00C72289">
      <w:pPr>
        <w:pStyle w:val="ListParagraph"/>
        <w:numPr>
          <w:ilvl w:val="0"/>
          <w:numId w:val="17"/>
        </w:numPr>
        <w:jc w:val="both"/>
        <w:rPr>
          <w:sz w:val="24"/>
          <w:szCs w:val="24"/>
        </w:rPr>
      </w:pPr>
      <w:r>
        <w:rPr>
          <w:sz w:val="24"/>
          <w:szCs w:val="24"/>
        </w:rPr>
        <w:t xml:space="preserve">Additional themes of </w:t>
      </w:r>
      <w:r w:rsidR="00724157">
        <w:rPr>
          <w:sz w:val="24"/>
          <w:szCs w:val="24"/>
        </w:rPr>
        <w:t>evidence quality measures, expert briefing, and mini-public duration are significant, but beyond this review, but should be incorporated into future research in this area</w:t>
      </w:r>
      <w:r w:rsidR="007468BA">
        <w:rPr>
          <w:sz w:val="24"/>
          <w:szCs w:val="24"/>
        </w:rPr>
        <w:t>.</w:t>
      </w:r>
    </w:p>
    <w:p w:rsidR="007468BA" w:rsidRPr="007468BA" w:rsidRDefault="007468BA" w:rsidP="007468BA">
      <w:pPr>
        <w:pStyle w:val="ListParagraph"/>
        <w:rPr>
          <w:sz w:val="24"/>
          <w:szCs w:val="24"/>
        </w:rPr>
      </w:pPr>
    </w:p>
    <w:p w:rsidR="00724157" w:rsidRDefault="00724157" w:rsidP="00C72289">
      <w:pPr>
        <w:pStyle w:val="ListParagraph"/>
        <w:numPr>
          <w:ilvl w:val="0"/>
          <w:numId w:val="17"/>
        </w:numPr>
        <w:jc w:val="both"/>
        <w:rPr>
          <w:sz w:val="24"/>
          <w:szCs w:val="24"/>
        </w:rPr>
      </w:pPr>
      <w:r>
        <w:rPr>
          <w:sz w:val="24"/>
          <w:szCs w:val="24"/>
        </w:rPr>
        <w:t>Organisers of mini-publics should experiment more with the methods of evidence provision to the participating citizens</w:t>
      </w:r>
      <w:r w:rsidR="007468BA">
        <w:rPr>
          <w:sz w:val="24"/>
          <w:szCs w:val="24"/>
        </w:rPr>
        <w:t>.</w:t>
      </w:r>
    </w:p>
    <w:p w:rsidR="007468BA" w:rsidRPr="007468BA" w:rsidRDefault="007468BA" w:rsidP="007468BA">
      <w:pPr>
        <w:pStyle w:val="ListParagraph"/>
        <w:rPr>
          <w:sz w:val="24"/>
          <w:szCs w:val="24"/>
        </w:rPr>
      </w:pPr>
    </w:p>
    <w:p w:rsidR="00724157" w:rsidRPr="00C72289" w:rsidRDefault="00724157" w:rsidP="00C72289">
      <w:pPr>
        <w:pStyle w:val="ListParagraph"/>
        <w:numPr>
          <w:ilvl w:val="0"/>
          <w:numId w:val="17"/>
        </w:numPr>
        <w:jc w:val="both"/>
        <w:rPr>
          <w:sz w:val="24"/>
          <w:szCs w:val="24"/>
        </w:rPr>
      </w:pPr>
      <w:r>
        <w:rPr>
          <w:sz w:val="24"/>
          <w:szCs w:val="24"/>
        </w:rPr>
        <w:t xml:space="preserve">Researchers and reporters of mini-publics should cover citizen and witness recruitment, evidence </w:t>
      </w:r>
      <w:r w:rsidR="00E311B1">
        <w:rPr>
          <w:sz w:val="24"/>
          <w:szCs w:val="24"/>
        </w:rPr>
        <w:t>provision</w:t>
      </w:r>
      <w:r>
        <w:rPr>
          <w:sz w:val="24"/>
          <w:szCs w:val="24"/>
        </w:rPr>
        <w:t xml:space="preserve"> methods, influence of evidence on participants, and influence of the mini-public on policy and practice as a matter of routine</w:t>
      </w:r>
      <w:r w:rsidR="007468BA">
        <w:rPr>
          <w:sz w:val="24"/>
          <w:szCs w:val="24"/>
        </w:rPr>
        <w:t>.</w:t>
      </w:r>
    </w:p>
    <w:p w:rsidR="00A73D15" w:rsidRDefault="00A73D15" w:rsidP="00C72289"/>
    <w:p w:rsidR="00A73D15" w:rsidRDefault="00A73D15" w:rsidP="00A73D15">
      <w:pPr>
        <w:jc w:val="center"/>
      </w:pPr>
    </w:p>
    <w:p w:rsidR="00A73D15" w:rsidRDefault="00A73D15" w:rsidP="00A73D15">
      <w:pPr>
        <w:jc w:val="center"/>
      </w:pPr>
    </w:p>
    <w:p w:rsidR="00A73D15" w:rsidRDefault="00A73D15" w:rsidP="00A73D15">
      <w:pPr>
        <w:jc w:val="center"/>
      </w:pPr>
    </w:p>
    <w:p w:rsidR="00A73D15" w:rsidRDefault="00A73D15" w:rsidP="00A73D15">
      <w:pPr>
        <w:jc w:val="center"/>
      </w:pPr>
    </w:p>
    <w:p w:rsidR="00A73D15" w:rsidRDefault="00A73D15" w:rsidP="00A73D15">
      <w:pPr>
        <w:jc w:val="center"/>
      </w:pPr>
    </w:p>
    <w:p w:rsidR="00A73D15" w:rsidRDefault="00A73D15" w:rsidP="00A73D15">
      <w:pPr>
        <w:jc w:val="center"/>
      </w:pPr>
    </w:p>
    <w:p w:rsidR="00A73D15" w:rsidRDefault="00A73D15" w:rsidP="00A73D15">
      <w:pPr>
        <w:jc w:val="center"/>
      </w:pPr>
    </w:p>
    <w:p w:rsidR="00A73D15" w:rsidRDefault="00A73D15" w:rsidP="00A73D15">
      <w:pPr>
        <w:jc w:val="center"/>
      </w:pPr>
    </w:p>
    <w:p w:rsidR="00A73D15" w:rsidRDefault="00A73D15" w:rsidP="00A73D15">
      <w:pPr>
        <w:jc w:val="center"/>
      </w:pPr>
    </w:p>
    <w:p w:rsidR="00F12AEA" w:rsidRDefault="00F12AEA" w:rsidP="00F12AEA">
      <w:pPr>
        <w:jc w:val="both"/>
        <w:rPr>
          <w:b/>
          <w:color w:val="0B5484" w:themeColor="accent1" w:themeShade="80"/>
          <w:sz w:val="36"/>
          <w:szCs w:val="36"/>
        </w:rPr>
      </w:pPr>
      <w:r>
        <w:rPr>
          <w:b/>
          <w:color w:val="0B5484" w:themeColor="accent1" w:themeShade="80"/>
          <w:sz w:val="36"/>
          <w:szCs w:val="36"/>
        </w:rPr>
        <w:t>Contents</w:t>
      </w:r>
    </w:p>
    <w:p w:rsidR="008075EF" w:rsidRDefault="008075EF" w:rsidP="008075EF">
      <w:pPr>
        <w:jc w:val="both"/>
        <w:rPr>
          <w:b/>
          <w:color w:val="0B5484" w:themeColor="accent1" w:themeShade="80"/>
          <w:sz w:val="24"/>
          <w:szCs w:val="24"/>
        </w:rPr>
      </w:pPr>
      <w:r w:rsidRPr="0029027F">
        <w:rPr>
          <w:b/>
          <w:color w:val="0B5484" w:themeColor="accent1" w:themeShade="80"/>
          <w:sz w:val="24"/>
          <w:szCs w:val="24"/>
        </w:rPr>
        <w:t>Executive Summary</w:t>
      </w:r>
      <w:r w:rsidRPr="0029027F">
        <w:rPr>
          <w:b/>
          <w:color w:val="0B5484" w:themeColor="accent1" w:themeShade="80"/>
          <w:sz w:val="24"/>
          <w:szCs w:val="24"/>
        </w:rPr>
        <w:tab/>
      </w:r>
      <w:r w:rsidRPr="0029027F">
        <w:rPr>
          <w:b/>
          <w:color w:val="0B5484" w:themeColor="accent1" w:themeShade="80"/>
          <w:sz w:val="24"/>
          <w:szCs w:val="24"/>
        </w:rPr>
        <w:tab/>
      </w:r>
      <w:r w:rsidRPr="0029027F">
        <w:rPr>
          <w:b/>
          <w:color w:val="0B5484" w:themeColor="accent1" w:themeShade="80"/>
          <w:sz w:val="24"/>
          <w:szCs w:val="24"/>
        </w:rPr>
        <w:tab/>
      </w:r>
      <w:r w:rsidRPr="0029027F">
        <w:rPr>
          <w:b/>
          <w:color w:val="0B5484" w:themeColor="accent1" w:themeShade="80"/>
          <w:sz w:val="24"/>
          <w:szCs w:val="24"/>
        </w:rPr>
        <w:tab/>
      </w:r>
      <w:r w:rsidRPr="0029027F">
        <w:rPr>
          <w:b/>
          <w:color w:val="0B5484" w:themeColor="accent1" w:themeShade="80"/>
          <w:sz w:val="24"/>
          <w:szCs w:val="24"/>
        </w:rPr>
        <w:tab/>
      </w:r>
      <w:r w:rsidRPr="0029027F">
        <w:rPr>
          <w:b/>
          <w:color w:val="0B5484" w:themeColor="accent1" w:themeShade="80"/>
          <w:sz w:val="24"/>
          <w:szCs w:val="24"/>
        </w:rPr>
        <w:tab/>
      </w:r>
      <w:r w:rsidRPr="0029027F">
        <w:rPr>
          <w:b/>
          <w:color w:val="0B5484" w:themeColor="accent1" w:themeShade="80"/>
          <w:sz w:val="24"/>
          <w:szCs w:val="24"/>
        </w:rPr>
        <w:tab/>
      </w:r>
      <w:r w:rsidRPr="0029027F">
        <w:rPr>
          <w:b/>
          <w:color w:val="0B5484" w:themeColor="accent1" w:themeShade="80"/>
          <w:sz w:val="24"/>
          <w:szCs w:val="24"/>
        </w:rPr>
        <w:tab/>
      </w:r>
      <w:r w:rsidRPr="0029027F">
        <w:rPr>
          <w:b/>
          <w:color w:val="0B5484" w:themeColor="accent1" w:themeShade="80"/>
          <w:sz w:val="24"/>
          <w:szCs w:val="24"/>
        </w:rPr>
        <w:tab/>
      </w:r>
      <w:r w:rsidRPr="0029027F">
        <w:rPr>
          <w:b/>
          <w:color w:val="0B5484" w:themeColor="accent1" w:themeShade="80"/>
          <w:sz w:val="24"/>
          <w:szCs w:val="24"/>
        </w:rPr>
        <w:tab/>
        <w:t>2</w:t>
      </w:r>
    </w:p>
    <w:p w:rsidR="00B20E1F" w:rsidRPr="0029027F" w:rsidRDefault="00B20E1F" w:rsidP="008075EF">
      <w:pPr>
        <w:jc w:val="both"/>
        <w:rPr>
          <w:b/>
          <w:color w:val="0B5484" w:themeColor="accent1" w:themeShade="80"/>
          <w:sz w:val="24"/>
          <w:szCs w:val="24"/>
        </w:rPr>
      </w:pPr>
      <w:r>
        <w:rPr>
          <w:b/>
          <w:color w:val="0B5484" w:themeColor="accent1" w:themeShade="80"/>
          <w:sz w:val="24"/>
          <w:szCs w:val="24"/>
        </w:rPr>
        <w:t>List of Tables</w:t>
      </w:r>
      <w:r w:rsidR="00DA2AFA">
        <w:rPr>
          <w:b/>
          <w:color w:val="0B5484" w:themeColor="accent1" w:themeShade="80"/>
          <w:sz w:val="24"/>
          <w:szCs w:val="24"/>
        </w:rPr>
        <w:tab/>
      </w:r>
      <w:r w:rsidR="00DA2AFA">
        <w:rPr>
          <w:b/>
          <w:color w:val="0B5484" w:themeColor="accent1" w:themeShade="80"/>
          <w:sz w:val="24"/>
          <w:szCs w:val="24"/>
        </w:rPr>
        <w:tab/>
      </w:r>
      <w:r w:rsidR="00DA2AFA">
        <w:rPr>
          <w:b/>
          <w:color w:val="0B5484" w:themeColor="accent1" w:themeShade="80"/>
          <w:sz w:val="24"/>
          <w:szCs w:val="24"/>
        </w:rPr>
        <w:tab/>
      </w:r>
      <w:r w:rsidR="00DA2AFA">
        <w:rPr>
          <w:b/>
          <w:color w:val="0B5484" w:themeColor="accent1" w:themeShade="80"/>
          <w:sz w:val="24"/>
          <w:szCs w:val="24"/>
        </w:rPr>
        <w:tab/>
      </w:r>
      <w:r w:rsidR="00DA2AFA">
        <w:rPr>
          <w:b/>
          <w:color w:val="0B5484" w:themeColor="accent1" w:themeShade="80"/>
          <w:sz w:val="24"/>
          <w:szCs w:val="24"/>
        </w:rPr>
        <w:tab/>
      </w:r>
      <w:r w:rsidR="00DA2AFA">
        <w:rPr>
          <w:b/>
          <w:color w:val="0B5484" w:themeColor="accent1" w:themeShade="80"/>
          <w:sz w:val="24"/>
          <w:szCs w:val="24"/>
        </w:rPr>
        <w:tab/>
      </w:r>
      <w:r w:rsidR="00DA2AFA">
        <w:rPr>
          <w:b/>
          <w:color w:val="0B5484" w:themeColor="accent1" w:themeShade="80"/>
          <w:sz w:val="24"/>
          <w:szCs w:val="24"/>
        </w:rPr>
        <w:tab/>
      </w:r>
      <w:r w:rsidR="00DA2AFA">
        <w:rPr>
          <w:b/>
          <w:color w:val="0B5484" w:themeColor="accent1" w:themeShade="80"/>
          <w:sz w:val="24"/>
          <w:szCs w:val="24"/>
        </w:rPr>
        <w:tab/>
      </w:r>
      <w:r w:rsidR="00DA2AFA">
        <w:rPr>
          <w:b/>
          <w:color w:val="0B5484" w:themeColor="accent1" w:themeShade="80"/>
          <w:sz w:val="24"/>
          <w:szCs w:val="24"/>
        </w:rPr>
        <w:tab/>
      </w:r>
      <w:r w:rsidR="00DA2AFA">
        <w:rPr>
          <w:b/>
          <w:color w:val="0B5484" w:themeColor="accent1" w:themeShade="80"/>
          <w:sz w:val="24"/>
          <w:szCs w:val="24"/>
        </w:rPr>
        <w:tab/>
      </w:r>
      <w:r w:rsidR="00DA2AFA">
        <w:rPr>
          <w:b/>
          <w:color w:val="0B5484" w:themeColor="accent1" w:themeShade="80"/>
          <w:sz w:val="24"/>
          <w:szCs w:val="24"/>
        </w:rPr>
        <w:tab/>
        <w:t>5</w:t>
      </w:r>
    </w:p>
    <w:p w:rsidR="0023720D" w:rsidRPr="0029027F" w:rsidRDefault="008075EF" w:rsidP="008075EF">
      <w:pPr>
        <w:jc w:val="both"/>
        <w:rPr>
          <w:b/>
          <w:color w:val="0B5484" w:themeColor="accent1" w:themeShade="80"/>
          <w:sz w:val="24"/>
          <w:szCs w:val="24"/>
        </w:rPr>
      </w:pPr>
      <w:r w:rsidRPr="0029027F">
        <w:rPr>
          <w:b/>
          <w:color w:val="0B5484" w:themeColor="accent1" w:themeShade="80"/>
          <w:sz w:val="24"/>
          <w:szCs w:val="24"/>
        </w:rPr>
        <w:t>Introduction</w:t>
      </w:r>
      <w:r w:rsidR="00724157" w:rsidRPr="0029027F">
        <w:rPr>
          <w:b/>
          <w:color w:val="0B5484" w:themeColor="accent1" w:themeShade="80"/>
          <w:sz w:val="24"/>
          <w:szCs w:val="24"/>
        </w:rPr>
        <w:tab/>
      </w:r>
      <w:r w:rsidR="00724157" w:rsidRPr="0029027F">
        <w:rPr>
          <w:b/>
          <w:color w:val="0B5484" w:themeColor="accent1" w:themeShade="80"/>
          <w:sz w:val="24"/>
          <w:szCs w:val="24"/>
        </w:rPr>
        <w:tab/>
      </w:r>
      <w:r w:rsidR="00724157" w:rsidRPr="0029027F">
        <w:rPr>
          <w:b/>
          <w:color w:val="0B5484" w:themeColor="accent1" w:themeShade="80"/>
          <w:sz w:val="24"/>
          <w:szCs w:val="24"/>
        </w:rPr>
        <w:tab/>
      </w:r>
      <w:r w:rsidR="00724157" w:rsidRPr="0029027F">
        <w:rPr>
          <w:b/>
          <w:color w:val="0B5484" w:themeColor="accent1" w:themeShade="80"/>
          <w:sz w:val="24"/>
          <w:szCs w:val="24"/>
        </w:rPr>
        <w:tab/>
      </w:r>
      <w:r w:rsidR="00724157" w:rsidRPr="0029027F">
        <w:rPr>
          <w:b/>
          <w:color w:val="0B5484" w:themeColor="accent1" w:themeShade="80"/>
          <w:sz w:val="24"/>
          <w:szCs w:val="24"/>
        </w:rPr>
        <w:tab/>
      </w:r>
      <w:r w:rsidR="00724157" w:rsidRPr="0029027F">
        <w:rPr>
          <w:b/>
          <w:color w:val="0B5484" w:themeColor="accent1" w:themeShade="80"/>
          <w:sz w:val="24"/>
          <w:szCs w:val="24"/>
        </w:rPr>
        <w:tab/>
      </w:r>
      <w:r w:rsidR="00724157" w:rsidRPr="0029027F">
        <w:rPr>
          <w:b/>
          <w:color w:val="0B5484" w:themeColor="accent1" w:themeShade="80"/>
          <w:sz w:val="24"/>
          <w:szCs w:val="24"/>
        </w:rPr>
        <w:tab/>
      </w:r>
      <w:r w:rsidR="00724157" w:rsidRPr="0029027F">
        <w:rPr>
          <w:b/>
          <w:color w:val="0B5484" w:themeColor="accent1" w:themeShade="80"/>
          <w:sz w:val="24"/>
          <w:szCs w:val="24"/>
        </w:rPr>
        <w:tab/>
      </w:r>
      <w:r w:rsidR="00724157" w:rsidRPr="0029027F">
        <w:rPr>
          <w:b/>
          <w:color w:val="0B5484" w:themeColor="accent1" w:themeShade="80"/>
          <w:sz w:val="24"/>
          <w:szCs w:val="24"/>
        </w:rPr>
        <w:tab/>
      </w:r>
      <w:r w:rsidR="00724157" w:rsidRPr="0029027F">
        <w:rPr>
          <w:b/>
          <w:color w:val="0B5484" w:themeColor="accent1" w:themeShade="80"/>
          <w:sz w:val="24"/>
          <w:szCs w:val="24"/>
        </w:rPr>
        <w:tab/>
      </w:r>
      <w:r w:rsidR="00724157" w:rsidRPr="0029027F">
        <w:rPr>
          <w:b/>
          <w:color w:val="0B5484" w:themeColor="accent1" w:themeShade="80"/>
          <w:sz w:val="24"/>
          <w:szCs w:val="24"/>
        </w:rPr>
        <w:tab/>
      </w:r>
      <w:r w:rsidR="00DA2AFA">
        <w:rPr>
          <w:b/>
          <w:color w:val="0B5484" w:themeColor="accent1" w:themeShade="80"/>
          <w:sz w:val="24"/>
          <w:szCs w:val="24"/>
        </w:rPr>
        <w:t>6</w:t>
      </w:r>
    </w:p>
    <w:p w:rsidR="008075EF" w:rsidRPr="0029027F" w:rsidRDefault="0023720D" w:rsidP="007272F6">
      <w:pPr>
        <w:spacing w:after="0"/>
        <w:jc w:val="both"/>
        <w:rPr>
          <w:b/>
          <w:color w:val="0B5484" w:themeColor="accent1" w:themeShade="80"/>
          <w:sz w:val="24"/>
          <w:szCs w:val="24"/>
        </w:rPr>
      </w:pPr>
      <w:r w:rsidRPr="0029027F">
        <w:rPr>
          <w:b/>
          <w:color w:val="0B5484" w:themeColor="accent1" w:themeShade="80"/>
          <w:sz w:val="24"/>
          <w:szCs w:val="24"/>
        </w:rPr>
        <w:t>Mini-Public</w:t>
      </w:r>
      <w:r w:rsidR="0049609F" w:rsidRPr="0029027F">
        <w:rPr>
          <w:b/>
          <w:color w:val="0B5484" w:themeColor="accent1" w:themeShade="80"/>
          <w:sz w:val="24"/>
          <w:szCs w:val="24"/>
        </w:rPr>
        <w:t>s</w:t>
      </w:r>
      <w:r w:rsidR="005A7A23">
        <w:rPr>
          <w:b/>
          <w:color w:val="0B5484" w:themeColor="accent1" w:themeShade="80"/>
          <w:sz w:val="24"/>
          <w:szCs w:val="24"/>
        </w:rPr>
        <w:t>:</w:t>
      </w:r>
      <w:r w:rsidR="0049609F" w:rsidRPr="0029027F">
        <w:rPr>
          <w:b/>
          <w:color w:val="0B5484" w:themeColor="accent1" w:themeShade="80"/>
          <w:sz w:val="24"/>
          <w:szCs w:val="24"/>
        </w:rPr>
        <w:t xml:space="preserve"> Experts and Evidence</w:t>
      </w:r>
      <w:r w:rsidR="007272F6" w:rsidRPr="0029027F">
        <w:rPr>
          <w:b/>
          <w:color w:val="0B5484" w:themeColor="accent1" w:themeShade="80"/>
          <w:sz w:val="24"/>
          <w:szCs w:val="24"/>
        </w:rPr>
        <w:tab/>
      </w:r>
      <w:r w:rsidR="007272F6" w:rsidRPr="0029027F">
        <w:rPr>
          <w:b/>
          <w:color w:val="0B5484" w:themeColor="accent1" w:themeShade="80"/>
          <w:sz w:val="24"/>
          <w:szCs w:val="24"/>
        </w:rPr>
        <w:tab/>
      </w:r>
      <w:r w:rsidR="007272F6" w:rsidRPr="0029027F">
        <w:rPr>
          <w:b/>
          <w:color w:val="0B5484" w:themeColor="accent1" w:themeShade="80"/>
          <w:sz w:val="24"/>
          <w:szCs w:val="24"/>
        </w:rPr>
        <w:tab/>
        <w:t xml:space="preserve">                                                     </w:t>
      </w:r>
      <w:r w:rsidR="0029027F">
        <w:rPr>
          <w:b/>
          <w:color w:val="0B5484" w:themeColor="accent1" w:themeShade="80"/>
          <w:sz w:val="24"/>
          <w:szCs w:val="24"/>
        </w:rPr>
        <w:t xml:space="preserve">  </w:t>
      </w:r>
      <w:r w:rsidR="007272F6" w:rsidRPr="0029027F">
        <w:rPr>
          <w:b/>
          <w:color w:val="0B5484" w:themeColor="accent1" w:themeShade="80"/>
          <w:sz w:val="24"/>
          <w:szCs w:val="24"/>
        </w:rPr>
        <w:t xml:space="preserve"> </w:t>
      </w:r>
      <w:r w:rsidR="00DA2AFA">
        <w:rPr>
          <w:b/>
          <w:color w:val="0B5484" w:themeColor="accent1" w:themeShade="80"/>
          <w:sz w:val="24"/>
          <w:szCs w:val="24"/>
        </w:rPr>
        <w:t>8</w:t>
      </w:r>
      <w:r w:rsidR="007272F6" w:rsidRPr="0029027F">
        <w:rPr>
          <w:b/>
          <w:color w:val="0B5484" w:themeColor="accent1" w:themeShade="80"/>
          <w:sz w:val="24"/>
          <w:szCs w:val="24"/>
        </w:rPr>
        <w:tab/>
      </w:r>
      <w:r w:rsidR="007272F6" w:rsidRPr="0029027F">
        <w:rPr>
          <w:b/>
          <w:color w:val="0B5484" w:themeColor="accent1" w:themeShade="80"/>
          <w:sz w:val="24"/>
          <w:szCs w:val="24"/>
        </w:rPr>
        <w:tab/>
      </w:r>
      <w:r w:rsidR="007272F6" w:rsidRPr="0029027F">
        <w:rPr>
          <w:b/>
          <w:color w:val="0B5484" w:themeColor="accent1" w:themeShade="80"/>
          <w:sz w:val="24"/>
          <w:szCs w:val="24"/>
        </w:rPr>
        <w:tab/>
      </w:r>
      <w:r w:rsidR="007272F6" w:rsidRPr="0029027F">
        <w:rPr>
          <w:b/>
          <w:color w:val="0B5484" w:themeColor="accent1" w:themeShade="80"/>
          <w:sz w:val="24"/>
          <w:szCs w:val="24"/>
        </w:rPr>
        <w:tab/>
      </w:r>
      <w:r w:rsidR="008075EF" w:rsidRPr="0029027F">
        <w:rPr>
          <w:b/>
          <w:color w:val="0B5484" w:themeColor="accent1" w:themeShade="80"/>
          <w:sz w:val="24"/>
          <w:szCs w:val="24"/>
        </w:rPr>
        <w:tab/>
      </w:r>
      <w:r w:rsidR="008075EF" w:rsidRPr="0029027F">
        <w:rPr>
          <w:b/>
          <w:color w:val="0B5484" w:themeColor="accent1" w:themeShade="80"/>
          <w:sz w:val="24"/>
          <w:szCs w:val="24"/>
        </w:rPr>
        <w:tab/>
      </w:r>
      <w:r w:rsidR="008075EF" w:rsidRPr="0029027F">
        <w:rPr>
          <w:b/>
          <w:color w:val="0B5484" w:themeColor="accent1" w:themeShade="80"/>
          <w:sz w:val="24"/>
          <w:szCs w:val="24"/>
        </w:rPr>
        <w:tab/>
      </w:r>
      <w:r w:rsidR="008075EF" w:rsidRPr="0029027F">
        <w:rPr>
          <w:b/>
          <w:color w:val="0B5484" w:themeColor="accent1" w:themeShade="80"/>
          <w:sz w:val="24"/>
          <w:szCs w:val="24"/>
        </w:rPr>
        <w:tab/>
        <w:t xml:space="preserve">  </w:t>
      </w:r>
    </w:p>
    <w:p w:rsidR="009B735D" w:rsidRPr="0029027F" w:rsidRDefault="008075EF" w:rsidP="008075EF">
      <w:pPr>
        <w:jc w:val="both"/>
        <w:rPr>
          <w:b/>
          <w:color w:val="0B5484" w:themeColor="accent1" w:themeShade="80"/>
          <w:sz w:val="24"/>
          <w:szCs w:val="24"/>
        </w:rPr>
      </w:pPr>
      <w:r w:rsidRPr="0029027F">
        <w:rPr>
          <w:b/>
          <w:color w:val="0B5484" w:themeColor="accent1" w:themeShade="80"/>
          <w:sz w:val="24"/>
          <w:szCs w:val="24"/>
        </w:rPr>
        <w:t>Methods and Approach</w:t>
      </w:r>
      <w:r w:rsidR="00175860" w:rsidRPr="0029027F">
        <w:rPr>
          <w:b/>
          <w:color w:val="0B5484" w:themeColor="accent1" w:themeShade="80"/>
          <w:sz w:val="24"/>
          <w:szCs w:val="24"/>
        </w:rPr>
        <w:tab/>
      </w:r>
      <w:r w:rsidR="00175860" w:rsidRPr="0029027F">
        <w:rPr>
          <w:b/>
          <w:color w:val="0B5484" w:themeColor="accent1" w:themeShade="80"/>
          <w:sz w:val="24"/>
          <w:szCs w:val="24"/>
        </w:rPr>
        <w:tab/>
      </w:r>
      <w:r w:rsidR="00175860" w:rsidRPr="0029027F">
        <w:rPr>
          <w:b/>
          <w:color w:val="0B5484" w:themeColor="accent1" w:themeShade="80"/>
          <w:sz w:val="24"/>
          <w:szCs w:val="24"/>
        </w:rPr>
        <w:tab/>
      </w:r>
      <w:r w:rsidR="00175860" w:rsidRPr="0029027F">
        <w:rPr>
          <w:b/>
          <w:color w:val="0B5484" w:themeColor="accent1" w:themeShade="80"/>
          <w:sz w:val="24"/>
          <w:szCs w:val="24"/>
        </w:rPr>
        <w:tab/>
      </w:r>
      <w:r w:rsidR="00175860" w:rsidRPr="0029027F">
        <w:rPr>
          <w:b/>
          <w:color w:val="0B5484" w:themeColor="accent1" w:themeShade="80"/>
          <w:sz w:val="24"/>
          <w:szCs w:val="24"/>
        </w:rPr>
        <w:tab/>
      </w:r>
      <w:r w:rsidR="00175860" w:rsidRPr="0029027F">
        <w:rPr>
          <w:b/>
          <w:color w:val="0B5484" w:themeColor="accent1" w:themeShade="80"/>
          <w:sz w:val="24"/>
          <w:szCs w:val="24"/>
        </w:rPr>
        <w:tab/>
      </w:r>
      <w:r w:rsidR="00175860" w:rsidRPr="0029027F">
        <w:rPr>
          <w:b/>
          <w:color w:val="0B5484" w:themeColor="accent1" w:themeShade="80"/>
          <w:sz w:val="24"/>
          <w:szCs w:val="24"/>
        </w:rPr>
        <w:tab/>
      </w:r>
      <w:r w:rsidR="00175860" w:rsidRPr="0029027F">
        <w:rPr>
          <w:b/>
          <w:color w:val="0B5484" w:themeColor="accent1" w:themeShade="80"/>
          <w:sz w:val="24"/>
          <w:szCs w:val="24"/>
        </w:rPr>
        <w:tab/>
        <w:t xml:space="preserve">         1</w:t>
      </w:r>
      <w:r w:rsidR="00DA2AFA">
        <w:rPr>
          <w:b/>
          <w:color w:val="0B5484" w:themeColor="accent1" w:themeShade="80"/>
          <w:sz w:val="24"/>
          <w:szCs w:val="24"/>
        </w:rPr>
        <w:t>3</w:t>
      </w:r>
    </w:p>
    <w:p w:rsidR="00FB0578" w:rsidRPr="0029027F" w:rsidRDefault="009B735D" w:rsidP="0029027F">
      <w:pPr>
        <w:spacing w:after="0"/>
        <w:jc w:val="both"/>
        <w:rPr>
          <w:b/>
          <w:color w:val="0B5484" w:themeColor="accent1" w:themeShade="80"/>
          <w:sz w:val="24"/>
          <w:szCs w:val="24"/>
        </w:rPr>
      </w:pPr>
      <w:r w:rsidRPr="0029027F">
        <w:rPr>
          <w:b/>
          <w:color w:val="0B5484" w:themeColor="accent1" w:themeShade="80"/>
          <w:sz w:val="24"/>
          <w:szCs w:val="24"/>
        </w:rPr>
        <w:t>Case Studies</w:t>
      </w:r>
      <w:r w:rsidR="00B63FCB" w:rsidRPr="0029027F">
        <w:rPr>
          <w:b/>
          <w:color w:val="0B5484" w:themeColor="accent1" w:themeShade="80"/>
          <w:sz w:val="24"/>
          <w:szCs w:val="24"/>
        </w:rPr>
        <w:t xml:space="preserve"> by Country</w:t>
      </w:r>
      <w:r w:rsidR="0029027F" w:rsidRPr="0029027F">
        <w:rPr>
          <w:b/>
          <w:color w:val="0B5484" w:themeColor="accent1" w:themeShade="80"/>
          <w:sz w:val="24"/>
          <w:szCs w:val="24"/>
        </w:rPr>
        <w:tab/>
      </w:r>
      <w:r w:rsidR="0029027F" w:rsidRPr="0029027F">
        <w:rPr>
          <w:b/>
          <w:color w:val="0B5484" w:themeColor="accent1" w:themeShade="80"/>
          <w:sz w:val="24"/>
          <w:szCs w:val="24"/>
        </w:rPr>
        <w:tab/>
      </w:r>
      <w:r w:rsidR="0029027F" w:rsidRPr="0029027F">
        <w:rPr>
          <w:b/>
          <w:color w:val="0B5484" w:themeColor="accent1" w:themeShade="80"/>
          <w:sz w:val="24"/>
          <w:szCs w:val="24"/>
        </w:rPr>
        <w:tab/>
      </w:r>
      <w:r w:rsidR="0029027F" w:rsidRPr="0029027F">
        <w:rPr>
          <w:b/>
          <w:color w:val="0B5484" w:themeColor="accent1" w:themeShade="80"/>
          <w:sz w:val="24"/>
          <w:szCs w:val="24"/>
        </w:rPr>
        <w:tab/>
      </w:r>
      <w:r w:rsidR="0029027F" w:rsidRPr="0029027F">
        <w:rPr>
          <w:b/>
          <w:color w:val="0B5484" w:themeColor="accent1" w:themeShade="80"/>
          <w:sz w:val="24"/>
          <w:szCs w:val="24"/>
        </w:rPr>
        <w:tab/>
      </w:r>
      <w:r w:rsidR="0029027F" w:rsidRPr="0029027F">
        <w:rPr>
          <w:b/>
          <w:color w:val="0B5484" w:themeColor="accent1" w:themeShade="80"/>
          <w:sz w:val="24"/>
          <w:szCs w:val="24"/>
        </w:rPr>
        <w:tab/>
      </w:r>
      <w:r w:rsidR="0029027F" w:rsidRPr="0029027F">
        <w:rPr>
          <w:b/>
          <w:color w:val="0B5484" w:themeColor="accent1" w:themeShade="80"/>
          <w:sz w:val="24"/>
          <w:szCs w:val="24"/>
        </w:rPr>
        <w:tab/>
      </w:r>
      <w:r w:rsidR="0029027F" w:rsidRPr="0029027F">
        <w:rPr>
          <w:b/>
          <w:color w:val="0B5484" w:themeColor="accent1" w:themeShade="80"/>
          <w:sz w:val="24"/>
          <w:szCs w:val="24"/>
        </w:rPr>
        <w:tab/>
        <w:t xml:space="preserve">         1</w:t>
      </w:r>
      <w:r w:rsidR="00DA2AFA">
        <w:rPr>
          <w:b/>
          <w:color w:val="0B5484" w:themeColor="accent1" w:themeShade="80"/>
          <w:sz w:val="24"/>
          <w:szCs w:val="24"/>
        </w:rPr>
        <w:t>5</w:t>
      </w:r>
      <w:r w:rsidR="008075EF" w:rsidRPr="0029027F">
        <w:rPr>
          <w:b/>
          <w:color w:val="0B5484" w:themeColor="accent1" w:themeShade="80"/>
          <w:sz w:val="24"/>
          <w:szCs w:val="24"/>
        </w:rPr>
        <w:tab/>
      </w:r>
      <w:r w:rsidR="008075EF" w:rsidRPr="0029027F">
        <w:rPr>
          <w:b/>
          <w:color w:val="0B5484" w:themeColor="accent1" w:themeShade="80"/>
          <w:sz w:val="24"/>
          <w:szCs w:val="24"/>
        </w:rPr>
        <w:tab/>
      </w:r>
      <w:r w:rsidR="008075EF" w:rsidRPr="0029027F">
        <w:rPr>
          <w:b/>
          <w:color w:val="0B5484" w:themeColor="accent1" w:themeShade="80"/>
          <w:sz w:val="24"/>
          <w:szCs w:val="24"/>
        </w:rPr>
        <w:tab/>
      </w:r>
      <w:r w:rsidR="008075EF" w:rsidRPr="0029027F">
        <w:rPr>
          <w:b/>
          <w:color w:val="0B5484" w:themeColor="accent1" w:themeShade="80"/>
          <w:sz w:val="24"/>
          <w:szCs w:val="24"/>
        </w:rPr>
        <w:tab/>
        <w:t xml:space="preserve">  </w:t>
      </w:r>
    </w:p>
    <w:p w:rsidR="008075EF" w:rsidRPr="0029027F" w:rsidRDefault="008075EF" w:rsidP="0022023D">
      <w:pPr>
        <w:pStyle w:val="ListParagraph"/>
        <w:numPr>
          <w:ilvl w:val="0"/>
          <w:numId w:val="1"/>
        </w:numPr>
        <w:spacing w:after="0"/>
        <w:jc w:val="both"/>
        <w:rPr>
          <w:color w:val="0B5484" w:themeColor="accent1" w:themeShade="80"/>
          <w:sz w:val="24"/>
          <w:szCs w:val="24"/>
        </w:rPr>
      </w:pPr>
      <w:r w:rsidRPr="0029027F">
        <w:rPr>
          <w:color w:val="0B5484" w:themeColor="accent1" w:themeShade="80"/>
          <w:sz w:val="24"/>
          <w:szCs w:val="24"/>
        </w:rPr>
        <w:t>Australia and New Zealand</w:t>
      </w:r>
      <w:r w:rsidRPr="0029027F">
        <w:rPr>
          <w:color w:val="0B5484" w:themeColor="accent1" w:themeShade="80"/>
          <w:sz w:val="24"/>
          <w:szCs w:val="24"/>
        </w:rPr>
        <w:tab/>
      </w:r>
      <w:r w:rsidR="0022023D">
        <w:rPr>
          <w:color w:val="0B5484" w:themeColor="accent1" w:themeShade="80"/>
          <w:sz w:val="24"/>
          <w:szCs w:val="24"/>
        </w:rPr>
        <w:t xml:space="preserve"> </w:t>
      </w:r>
      <w:r w:rsidR="0022023D">
        <w:rPr>
          <w:color w:val="0B5484" w:themeColor="accent1" w:themeShade="80"/>
          <w:sz w:val="24"/>
          <w:szCs w:val="24"/>
        </w:rPr>
        <w:tab/>
      </w:r>
      <w:r w:rsidR="0022023D">
        <w:rPr>
          <w:color w:val="0B5484" w:themeColor="accent1" w:themeShade="80"/>
          <w:sz w:val="24"/>
          <w:szCs w:val="24"/>
        </w:rPr>
        <w:tab/>
      </w:r>
      <w:r w:rsidR="0022023D">
        <w:rPr>
          <w:color w:val="0B5484" w:themeColor="accent1" w:themeShade="80"/>
          <w:sz w:val="24"/>
          <w:szCs w:val="24"/>
        </w:rPr>
        <w:tab/>
      </w:r>
      <w:r w:rsidR="0022023D">
        <w:rPr>
          <w:color w:val="0B5484" w:themeColor="accent1" w:themeShade="80"/>
          <w:sz w:val="24"/>
          <w:szCs w:val="24"/>
        </w:rPr>
        <w:tab/>
      </w:r>
      <w:r w:rsidR="0022023D">
        <w:rPr>
          <w:color w:val="0B5484" w:themeColor="accent1" w:themeShade="80"/>
          <w:sz w:val="24"/>
          <w:szCs w:val="24"/>
        </w:rPr>
        <w:tab/>
      </w:r>
      <w:r w:rsidR="0022023D">
        <w:rPr>
          <w:color w:val="0B5484" w:themeColor="accent1" w:themeShade="80"/>
          <w:sz w:val="24"/>
          <w:szCs w:val="24"/>
        </w:rPr>
        <w:tab/>
        <w:t xml:space="preserve">         1</w:t>
      </w:r>
      <w:r w:rsidR="00DA2AFA">
        <w:rPr>
          <w:color w:val="0B5484" w:themeColor="accent1" w:themeShade="80"/>
          <w:sz w:val="24"/>
          <w:szCs w:val="24"/>
        </w:rPr>
        <w:t>5</w:t>
      </w:r>
    </w:p>
    <w:p w:rsidR="008075EF" w:rsidRPr="0029027F" w:rsidRDefault="008075EF" w:rsidP="00D943A4">
      <w:pPr>
        <w:pStyle w:val="ListParagraph"/>
        <w:numPr>
          <w:ilvl w:val="0"/>
          <w:numId w:val="1"/>
        </w:numPr>
        <w:spacing w:after="0"/>
        <w:jc w:val="both"/>
        <w:rPr>
          <w:color w:val="0B5484" w:themeColor="accent1" w:themeShade="80"/>
          <w:sz w:val="24"/>
          <w:szCs w:val="24"/>
        </w:rPr>
      </w:pPr>
      <w:r w:rsidRPr="0029027F">
        <w:rPr>
          <w:color w:val="0B5484" w:themeColor="accent1" w:themeShade="80"/>
          <w:sz w:val="24"/>
          <w:szCs w:val="24"/>
        </w:rPr>
        <w:t>Denmark and Finland</w:t>
      </w:r>
      <w:r w:rsidRPr="0029027F">
        <w:rPr>
          <w:color w:val="0B5484" w:themeColor="accent1" w:themeShade="80"/>
          <w:sz w:val="24"/>
          <w:szCs w:val="24"/>
        </w:rPr>
        <w:tab/>
      </w:r>
      <w:r w:rsidR="00D943A4">
        <w:rPr>
          <w:color w:val="0B5484" w:themeColor="accent1" w:themeShade="80"/>
          <w:sz w:val="24"/>
          <w:szCs w:val="24"/>
        </w:rPr>
        <w:t xml:space="preserve">                                                                                     </w:t>
      </w:r>
      <w:r w:rsidR="00DA2AFA">
        <w:rPr>
          <w:color w:val="0B5484" w:themeColor="accent1" w:themeShade="80"/>
          <w:sz w:val="24"/>
          <w:szCs w:val="24"/>
        </w:rPr>
        <w:t>22</w:t>
      </w:r>
    </w:p>
    <w:p w:rsidR="00FB0578" w:rsidRPr="0029027F" w:rsidRDefault="00FB0578" w:rsidP="009B735D">
      <w:pPr>
        <w:pStyle w:val="ListParagraph"/>
        <w:numPr>
          <w:ilvl w:val="0"/>
          <w:numId w:val="1"/>
        </w:numPr>
        <w:jc w:val="both"/>
        <w:rPr>
          <w:color w:val="0B5484" w:themeColor="accent1" w:themeShade="80"/>
          <w:sz w:val="24"/>
          <w:szCs w:val="24"/>
        </w:rPr>
      </w:pPr>
      <w:r w:rsidRPr="0029027F">
        <w:rPr>
          <w:color w:val="0B5484" w:themeColor="accent1" w:themeShade="80"/>
          <w:sz w:val="24"/>
          <w:szCs w:val="24"/>
        </w:rPr>
        <w:t>France</w:t>
      </w:r>
      <w:r w:rsidR="005A7A23">
        <w:rPr>
          <w:color w:val="0B5484" w:themeColor="accent1" w:themeShade="80"/>
          <w:sz w:val="24"/>
          <w:szCs w:val="24"/>
        </w:rPr>
        <w:t xml:space="preserve">                                                                                                            </w:t>
      </w:r>
      <w:r w:rsidR="00DA2AFA">
        <w:rPr>
          <w:color w:val="0B5484" w:themeColor="accent1" w:themeShade="80"/>
          <w:sz w:val="24"/>
          <w:szCs w:val="24"/>
        </w:rPr>
        <w:t>26</w:t>
      </w:r>
    </w:p>
    <w:p w:rsidR="00FB0578" w:rsidRPr="0029027F" w:rsidRDefault="00FB0578" w:rsidP="00D600F4">
      <w:pPr>
        <w:pStyle w:val="ListParagraph"/>
        <w:numPr>
          <w:ilvl w:val="0"/>
          <w:numId w:val="1"/>
        </w:numPr>
        <w:rPr>
          <w:color w:val="0B5484" w:themeColor="accent1" w:themeShade="80"/>
          <w:sz w:val="24"/>
          <w:szCs w:val="24"/>
        </w:rPr>
      </w:pPr>
      <w:r w:rsidRPr="0029027F">
        <w:rPr>
          <w:color w:val="0B5484" w:themeColor="accent1" w:themeShade="80"/>
          <w:sz w:val="24"/>
          <w:szCs w:val="24"/>
        </w:rPr>
        <w:t>Germany</w:t>
      </w:r>
      <w:r w:rsidR="00D600F4">
        <w:rPr>
          <w:color w:val="0B5484" w:themeColor="accent1" w:themeShade="80"/>
          <w:sz w:val="24"/>
          <w:szCs w:val="24"/>
        </w:rPr>
        <w:t xml:space="preserve"> and The Netherlands</w:t>
      </w:r>
      <w:r w:rsidR="00665371">
        <w:rPr>
          <w:color w:val="0B5484" w:themeColor="accent1" w:themeShade="80"/>
          <w:sz w:val="24"/>
          <w:szCs w:val="24"/>
        </w:rPr>
        <w:t xml:space="preserve">                                                                         </w:t>
      </w:r>
      <w:r w:rsidR="00DA2AFA">
        <w:rPr>
          <w:color w:val="0B5484" w:themeColor="accent1" w:themeShade="80"/>
          <w:sz w:val="24"/>
          <w:szCs w:val="24"/>
        </w:rPr>
        <w:t>31</w:t>
      </w:r>
      <w:r w:rsidR="00665371">
        <w:rPr>
          <w:color w:val="0B5484" w:themeColor="accent1" w:themeShade="80"/>
          <w:sz w:val="24"/>
          <w:szCs w:val="24"/>
        </w:rPr>
        <w:t xml:space="preserve">                              </w:t>
      </w:r>
    </w:p>
    <w:p w:rsidR="00FB0578" w:rsidRPr="0029027F" w:rsidRDefault="00B63FCB" w:rsidP="009B735D">
      <w:pPr>
        <w:pStyle w:val="ListParagraph"/>
        <w:numPr>
          <w:ilvl w:val="0"/>
          <w:numId w:val="1"/>
        </w:numPr>
        <w:jc w:val="both"/>
        <w:rPr>
          <w:color w:val="0B5484" w:themeColor="accent1" w:themeShade="80"/>
          <w:sz w:val="24"/>
          <w:szCs w:val="24"/>
        </w:rPr>
      </w:pPr>
      <w:r w:rsidRPr="0029027F">
        <w:rPr>
          <w:color w:val="0B5484" w:themeColor="accent1" w:themeShade="80"/>
          <w:sz w:val="24"/>
          <w:szCs w:val="24"/>
        </w:rPr>
        <w:t xml:space="preserve">The </w:t>
      </w:r>
      <w:r w:rsidR="00FB0578" w:rsidRPr="0029027F">
        <w:rPr>
          <w:color w:val="0B5484" w:themeColor="accent1" w:themeShade="80"/>
          <w:sz w:val="24"/>
          <w:szCs w:val="24"/>
        </w:rPr>
        <w:t>United Kingdom</w:t>
      </w:r>
      <w:r w:rsidR="00C12660">
        <w:rPr>
          <w:color w:val="0B5484" w:themeColor="accent1" w:themeShade="80"/>
          <w:sz w:val="24"/>
          <w:szCs w:val="24"/>
        </w:rPr>
        <w:t xml:space="preserve">                                                                                        </w:t>
      </w:r>
      <w:r w:rsidR="00BD3111">
        <w:rPr>
          <w:color w:val="0B5484" w:themeColor="accent1" w:themeShade="80"/>
          <w:sz w:val="24"/>
          <w:szCs w:val="24"/>
        </w:rPr>
        <w:t xml:space="preserve"> 38</w:t>
      </w:r>
      <w:r w:rsidR="00C12660">
        <w:rPr>
          <w:color w:val="0B5484" w:themeColor="accent1" w:themeShade="80"/>
          <w:sz w:val="24"/>
          <w:szCs w:val="24"/>
        </w:rPr>
        <w:t xml:space="preserve"> </w:t>
      </w:r>
    </w:p>
    <w:p w:rsidR="008075EF" w:rsidRPr="0029027F" w:rsidRDefault="00FB0578" w:rsidP="008075EF">
      <w:pPr>
        <w:jc w:val="both"/>
        <w:rPr>
          <w:b/>
          <w:color w:val="0B5484" w:themeColor="accent1" w:themeShade="80"/>
          <w:sz w:val="24"/>
          <w:szCs w:val="24"/>
        </w:rPr>
      </w:pPr>
      <w:r w:rsidRPr="0029027F">
        <w:rPr>
          <w:b/>
          <w:color w:val="0B5484" w:themeColor="accent1" w:themeShade="80"/>
          <w:sz w:val="24"/>
          <w:szCs w:val="24"/>
        </w:rPr>
        <w:t>Overview of Cases</w:t>
      </w:r>
      <w:r w:rsidRPr="0029027F">
        <w:rPr>
          <w:b/>
          <w:color w:val="0B5484" w:themeColor="accent1" w:themeShade="80"/>
          <w:sz w:val="24"/>
          <w:szCs w:val="24"/>
        </w:rPr>
        <w:tab/>
      </w:r>
      <w:r w:rsidR="005A5D6A">
        <w:rPr>
          <w:b/>
          <w:color w:val="0B5484" w:themeColor="accent1" w:themeShade="80"/>
          <w:sz w:val="24"/>
          <w:szCs w:val="24"/>
        </w:rPr>
        <w:tab/>
      </w:r>
      <w:r w:rsidR="005A5D6A">
        <w:rPr>
          <w:b/>
          <w:color w:val="0B5484" w:themeColor="accent1" w:themeShade="80"/>
          <w:sz w:val="24"/>
          <w:szCs w:val="24"/>
        </w:rPr>
        <w:tab/>
      </w:r>
      <w:r w:rsidR="005A5D6A">
        <w:rPr>
          <w:b/>
          <w:color w:val="0B5484" w:themeColor="accent1" w:themeShade="80"/>
          <w:sz w:val="24"/>
          <w:szCs w:val="24"/>
        </w:rPr>
        <w:tab/>
      </w:r>
      <w:r w:rsidR="005A5D6A">
        <w:rPr>
          <w:b/>
          <w:color w:val="0B5484" w:themeColor="accent1" w:themeShade="80"/>
          <w:sz w:val="24"/>
          <w:szCs w:val="24"/>
        </w:rPr>
        <w:tab/>
      </w:r>
      <w:r w:rsidR="005A5D6A">
        <w:rPr>
          <w:b/>
          <w:color w:val="0B5484" w:themeColor="accent1" w:themeShade="80"/>
          <w:sz w:val="24"/>
          <w:szCs w:val="24"/>
        </w:rPr>
        <w:tab/>
      </w:r>
      <w:r w:rsidR="005A5D6A">
        <w:rPr>
          <w:b/>
          <w:color w:val="0B5484" w:themeColor="accent1" w:themeShade="80"/>
          <w:sz w:val="24"/>
          <w:szCs w:val="24"/>
        </w:rPr>
        <w:tab/>
      </w:r>
      <w:r w:rsidR="005A5D6A">
        <w:rPr>
          <w:b/>
          <w:color w:val="0B5484" w:themeColor="accent1" w:themeShade="80"/>
          <w:sz w:val="24"/>
          <w:szCs w:val="24"/>
        </w:rPr>
        <w:tab/>
      </w:r>
      <w:r w:rsidR="005A5D6A">
        <w:rPr>
          <w:b/>
          <w:color w:val="0B5484" w:themeColor="accent1" w:themeShade="80"/>
          <w:sz w:val="24"/>
          <w:szCs w:val="24"/>
        </w:rPr>
        <w:tab/>
        <w:t xml:space="preserve">         </w:t>
      </w:r>
      <w:r w:rsidR="00BD3111">
        <w:rPr>
          <w:b/>
          <w:color w:val="0B5484" w:themeColor="accent1" w:themeShade="80"/>
          <w:sz w:val="24"/>
          <w:szCs w:val="24"/>
        </w:rPr>
        <w:t>48</w:t>
      </w:r>
    </w:p>
    <w:p w:rsidR="008075EF" w:rsidRPr="0029027F" w:rsidRDefault="008075EF" w:rsidP="008075EF">
      <w:pPr>
        <w:jc w:val="both"/>
        <w:rPr>
          <w:b/>
          <w:color w:val="0B5484" w:themeColor="accent1" w:themeShade="80"/>
          <w:sz w:val="24"/>
          <w:szCs w:val="24"/>
        </w:rPr>
      </w:pPr>
      <w:r w:rsidRPr="0029027F">
        <w:rPr>
          <w:b/>
          <w:color w:val="0B5484" w:themeColor="accent1" w:themeShade="80"/>
          <w:sz w:val="24"/>
          <w:szCs w:val="24"/>
        </w:rPr>
        <w:t xml:space="preserve">Lessons and Recommendations </w:t>
      </w:r>
      <w:r w:rsidRPr="0029027F">
        <w:rPr>
          <w:b/>
          <w:color w:val="0B5484" w:themeColor="accent1" w:themeShade="80"/>
          <w:sz w:val="24"/>
          <w:szCs w:val="24"/>
        </w:rPr>
        <w:tab/>
      </w:r>
      <w:r w:rsidRPr="0029027F">
        <w:rPr>
          <w:b/>
          <w:color w:val="0B5484" w:themeColor="accent1" w:themeShade="80"/>
          <w:sz w:val="24"/>
          <w:szCs w:val="24"/>
        </w:rPr>
        <w:tab/>
      </w:r>
      <w:r w:rsidRPr="0029027F">
        <w:rPr>
          <w:b/>
          <w:color w:val="0B5484" w:themeColor="accent1" w:themeShade="80"/>
          <w:sz w:val="24"/>
          <w:szCs w:val="24"/>
        </w:rPr>
        <w:tab/>
      </w:r>
      <w:r w:rsidRPr="0029027F">
        <w:rPr>
          <w:b/>
          <w:color w:val="0B5484" w:themeColor="accent1" w:themeShade="80"/>
          <w:sz w:val="24"/>
          <w:szCs w:val="24"/>
        </w:rPr>
        <w:tab/>
      </w:r>
      <w:r w:rsidRPr="0029027F">
        <w:rPr>
          <w:b/>
          <w:color w:val="0B5484" w:themeColor="accent1" w:themeShade="80"/>
          <w:sz w:val="24"/>
          <w:szCs w:val="24"/>
        </w:rPr>
        <w:tab/>
      </w:r>
      <w:r w:rsidRPr="0029027F">
        <w:rPr>
          <w:b/>
          <w:color w:val="0B5484" w:themeColor="accent1" w:themeShade="80"/>
          <w:sz w:val="24"/>
          <w:szCs w:val="24"/>
        </w:rPr>
        <w:tab/>
      </w:r>
      <w:r w:rsidRPr="0029027F">
        <w:rPr>
          <w:b/>
          <w:color w:val="0B5484" w:themeColor="accent1" w:themeShade="80"/>
          <w:sz w:val="24"/>
          <w:szCs w:val="24"/>
        </w:rPr>
        <w:tab/>
      </w:r>
      <w:r w:rsidR="00B57114">
        <w:rPr>
          <w:b/>
          <w:color w:val="0B5484" w:themeColor="accent1" w:themeShade="80"/>
          <w:sz w:val="24"/>
          <w:szCs w:val="24"/>
        </w:rPr>
        <w:t xml:space="preserve">        </w:t>
      </w:r>
      <w:r w:rsidR="00BD3111">
        <w:rPr>
          <w:b/>
          <w:color w:val="0B5484" w:themeColor="accent1" w:themeShade="80"/>
          <w:sz w:val="24"/>
          <w:szCs w:val="24"/>
        </w:rPr>
        <w:t xml:space="preserve"> 51</w:t>
      </w:r>
    </w:p>
    <w:p w:rsidR="00494EAD" w:rsidRDefault="008075EF" w:rsidP="008075EF">
      <w:pPr>
        <w:jc w:val="both"/>
        <w:rPr>
          <w:b/>
          <w:color w:val="0B5484" w:themeColor="accent1" w:themeShade="80"/>
          <w:sz w:val="24"/>
          <w:szCs w:val="24"/>
        </w:rPr>
      </w:pPr>
      <w:r w:rsidRPr="0029027F">
        <w:rPr>
          <w:b/>
          <w:color w:val="0B5484" w:themeColor="accent1" w:themeShade="80"/>
          <w:sz w:val="24"/>
          <w:szCs w:val="24"/>
        </w:rPr>
        <w:t>References</w:t>
      </w:r>
      <w:r>
        <w:tab/>
      </w:r>
      <w:r w:rsidR="009511A4">
        <w:tab/>
      </w:r>
      <w:r w:rsidR="009511A4">
        <w:tab/>
      </w:r>
      <w:r w:rsidR="009511A4">
        <w:tab/>
      </w:r>
      <w:r w:rsidR="009511A4">
        <w:tab/>
      </w:r>
      <w:r w:rsidR="009511A4">
        <w:tab/>
      </w:r>
      <w:r w:rsidR="009511A4">
        <w:tab/>
      </w:r>
      <w:r w:rsidR="009511A4">
        <w:tab/>
      </w:r>
      <w:r w:rsidR="009511A4">
        <w:tab/>
      </w:r>
      <w:r w:rsidR="009511A4">
        <w:tab/>
        <w:t xml:space="preserve">          </w:t>
      </w:r>
      <w:r w:rsidR="00BD3111">
        <w:rPr>
          <w:b/>
          <w:color w:val="0B5484" w:themeColor="accent1" w:themeShade="80"/>
          <w:sz w:val="24"/>
          <w:szCs w:val="24"/>
        </w:rPr>
        <w:t>5</w:t>
      </w:r>
      <w:r w:rsidR="009511A4" w:rsidRPr="009511A4">
        <w:rPr>
          <w:b/>
          <w:color w:val="0B5484" w:themeColor="accent1" w:themeShade="80"/>
          <w:sz w:val="24"/>
          <w:szCs w:val="24"/>
        </w:rPr>
        <w:t>3</w:t>
      </w:r>
    </w:p>
    <w:p w:rsidR="00494EAD" w:rsidRDefault="00494EAD" w:rsidP="008075EF">
      <w:pPr>
        <w:jc w:val="both"/>
        <w:rPr>
          <w:b/>
          <w:color w:val="0B5484" w:themeColor="accent1" w:themeShade="80"/>
          <w:sz w:val="24"/>
          <w:szCs w:val="24"/>
        </w:rPr>
      </w:pPr>
    </w:p>
    <w:p w:rsidR="00494EAD" w:rsidRDefault="00494EAD" w:rsidP="008075EF">
      <w:pPr>
        <w:jc w:val="both"/>
        <w:rPr>
          <w:b/>
          <w:color w:val="0B5484" w:themeColor="accent1" w:themeShade="80"/>
          <w:sz w:val="24"/>
          <w:szCs w:val="24"/>
        </w:rPr>
      </w:pPr>
    </w:p>
    <w:p w:rsidR="00494EAD" w:rsidRDefault="00494EAD" w:rsidP="008075EF">
      <w:pPr>
        <w:jc w:val="both"/>
        <w:rPr>
          <w:b/>
          <w:color w:val="0B5484" w:themeColor="accent1" w:themeShade="80"/>
          <w:sz w:val="24"/>
          <w:szCs w:val="24"/>
        </w:rPr>
      </w:pPr>
    </w:p>
    <w:p w:rsidR="00494EAD" w:rsidRDefault="00494EAD" w:rsidP="008075EF">
      <w:pPr>
        <w:jc w:val="both"/>
        <w:rPr>
          <w:b/>
          <w:color w:val="0B5484" w:themeColor="accent1" w:themeShade="80"/>
          <w:sz w:val="24"/>
          <w:szCs w:val="24"/>
        </w:rPr>
      </w:pPr>
    </w:p>
    <w:p w:rsidR="00494EAD" w:rsidRDefault="00494EAD" w:rsidP="008075EF">
      <w:pPr>
        <w:jc w:val="both"/>
        <w:rPr>
          <w:b/>
          <w:color w:val="0B5484" w:themeColor="accent1" w:themeShade="80"/>
          <w:sz w:val="24"/>
          <w:szCs w:val="24"/>
        </w:rPr>
      </w:pPr>
    </w:p>
    <w:p w:rsidR="00494EAD" w:rsidRDefault="00494EAD" w:rsidP="008075EF">
      <w:pPr>
        <w:jc w:val="both"/>
        <w:rPr>
          <w:b/>
          <w:color w:val="0B5484" w:themeColor="accent1" w:themeShade="80"/>
          <w:sz w:val="24"/>
          <w:szCs w:val="24"/>
        </w:rPr>
      </w:pPr>
    </w:p>
    <w:p w:rsidR="00494EAD" w:rsidRDefault="00494EAD" w:rsidP="008075EF">
      <w:pPr>
        <w:jc w:val="both"/>
        <w:rPr>
          <w:b/>
          <w:color w:val="0B5484" w:themeColor="accent1" w:themeShade="80"/>
          <w:sz w:val="24"/>
          <w:szCs w:val="24"/>
        </w:rPr>
      </w:pPr>
    </w:p>
    <w:p w:rsidR="00494EAD" w:rsidRDefault="00494EAD" w:rsidP="008075EF">
      <w:pPr>
        <w:jc w:val="both"/>
        <w:rPr>
          <w:b/>
          <w:color w:val="0B5484" w:themeColor="accent1" w:themeShade="80"/>
          <w:sz w:val="24"/>
          <w:szCs w:val="24"/>
        </w:rPr>
      </w:pPr>
    </w:p>
    <w:p w:rsidR="00494EAD" w:rsidRDefault="00494EAD" w:rsidP="008075EF">
      <w:pPr>
        <w:jc w:val="both"/>
        <w:rPr>
          <w:b/>
          <w:color w:val="0B5484" w:themeColor="accent1" w:themeShade="80"/>
          <w:sz w:val="24"/>
          <w:szCs w:val="24"/>
        </w:rPr>
      </w:pPr>
    </w:p>
    <w:p w:rsidR="00494EAD" w:rsidRDefault="00494EAD" w:rsidP="008075EF">
      <w:pPr>
        <w:jc w:val="both"/>
        <w:rPr>
          <w:b/>
          <w:color w:val="0B5484" w:themeColor="accent1" w:themeShade="80"/>
          <w:sz w:val="24"/>
          <w:szCs w:val="24"/>
        </w:rPr>
      </w:pPr>
    </w:p>
    <w:p w:rsidR="00494EAD" w:rsidRDefault="00494EAD" w:rsidP="008075EF">
      <w:pPr>
        <w:jc w:val="both"/>
        <w:rPr>
          <w:b/>
          <w:color w:val="0B5484" w:themeColor="accent1" w:themeShade="80"/>
          <w:sz w:val="24"/>
          <w:szCs w:val="24"/>
        </w:rPr>
      </w:pPr>
    </w:p>
    <w:p w:rsidR="00494EAD" w:rsidRDefault="00494EAD" w:rsidP="008075EF">
      <w:pPr>
        <w:jc w:val="both"/>
        <w:rPr>
          <w:b/>
          <w:color w:val="0B5484" w:themeColor="accent1" w:themeShade="80"/>
          <w:sz w:val="24"/>
          <w:szCs w:val="24"/>
        </w:rPr>
      </w:pPr>
    </w:p>
    <w:p w:rsidR="00494EAD" w:rsidRDefault="00494EAD" w:rsidP="008075EF">
      <w:pPr>
        <w:jc w:val="both"/>
        <w:rPr>
          <w:b/>
          <w:color w:val="0B5484" w:themeColor="accent1" w:themeShade="80"/>
          <w:sz w:val="24"/>
          <w:szCs w:val="24"/>
        </w:rPr>
      </w:pPr>
    </w:p>
    <w:p w:rsidR="00494EAD" w:rsidRDefault="00494EAD" w:rsidP="008075EF">
      <w:pPr>
        <w:jc w:val="both"/>
        <w:rPr>
          <w:b/>
          <w:color w:val="0B5484" w:themeColor="accent1" w:themeShade="80"/>
          <w:sz w:val="24"/>
          <w:szCs w:val="24"/>
        </w:rPr>
      </w:pPr>
    </w:p>
    <w:p w:rsidR="00494EAD" w:rsidRDefault="00494EAD" w:rsidP="008075EF">
      <w:pPr>
        <w:jc w:val="both"/>
        <w:rPr>
          <w:b/>
          <w:color w:val="0B5484" w:themeColor="accent1" w:themeShade="80"/>
          <w:sz w:val="24"/>
          <w:szCs w:val="24"/>
        </w:rPr>
      </w:pPr>
    </w:p>
    <w:p w:rsidR="008075EF" w:rsidRDefault="009511A4" w:rsidP="008075EF">
      <w:pPr>
        <w:jc w:val="both"/>
      </w:pPr>
      <w:r>
        <w:tab/>
      </w:r>
    </w:p>
    <w:p w:rsidR="0085256C" w:rsidRDefault="00494EAD" w:rsidP="0085256C">
      <w:pPr>
        <w:jc w:val="both"/>
        <w:rPr>
          <w:b/>
          <w:color w:val="0B5484" w:themeColor="accent1" w:themeShade="80"/>
          <w:sz w:val="36"/>
          <w:szCs w:val="36"/>
        </w:rPr>
      </w:pPr>
      <w:r>
        <w:rPr>
          <w:b/>
          <w:color w:val="0B5484" w:themeColor="accent1" w:themeShade="80"/>
          <w:sz w:val="36"/>
          <w:szCs w:val="36"/>
        </w:rPr>
        <w:lastRenderedPageBreak/>
        <w:t xml:space="preserve">List of </w:t>
      </w:r>
      <w:r w:rsidR="0085256C">
        <w:rPr>
          <w:b/>
          <w:color w:val="0B5484" w:themeColor="accent1" w:themeShade="80"/>
          <w:sz w:val="36"/>
          <w:szCs w:val="36"/>
        </w:rPr>
        <w:t>Tables</w:t>
      </w:r>
    </w:p>
    <w:p w:rsidR="00ED581B" w:rsidRDefault="00ED581B" w:rsidP="00ED581B">
      <w:pPr>
        <w:jc w:val="both"/>
        <w:rPr>
          <w:b/>
          <w:bCs/>
          <w:color w:val="0B5484" w:themeColor="accent1" w:themeShade="80"/>
          <w:sz w:val="24"/>
          <w:szCs w:val="24"/>
        </w:rPr>
      </w:pPr>
      <w:r w:rsidRPr="00175860">
        <w:rPr>
          <w:b/>
          <w:bCs/>
          <w:color w:val="0B5484" w:themeColor="accent1" w:themeShade="80"/>
          <w:sz w:val="24"/>
          <w:szCs w:val="24"/>
        </w:rPr>
        <w:t xml:space="preserve">Table </w:t>
      </w:r>
      <w:r w:rsidRPr="00175860">
        <w:rPr>
          <w:b/>
          <w:bCs/>
          <w:color w:val="0B5484" w:themeColor="accent1" w:themeShade="80"/>
          <w:sz w:val="24"/>
          <w:szCs w:val="24"/>
        </w:rPr>
        <w:fldChar w:fldCharType="begin"/>
      </w:r>
      <w:r w:rsidRPr="00175860">
        <w:rPr>
          <w:b/>
          <w:bCs/>
          <w:color w:val="0B5484" w:themeColor="accent1" w:themeShade="80"/>
          <w:sz w:val="24"/>
          <w:szCs w:val="24"/>
        </w:rPr>
        <w:instrText xml:space="preserve"> SEQ Table \* ARABIC </w:instrText>
      </w:r>
      <w:r w:rsidRPr="00175860">
        <w:rPr>
          <w:b/>
          <w:bCs/>
          <w:color w:val="0B5484" w:themeColor="accent1" w:themeShade="80"/>
          <w:sz w:val="24"/>
          <w:szCs w:val="24"/>
        </w:rPr>
        <w:fldChar w:fldCharType="separate"/>
      </w:r>
      <w:r w:rsidR="0045315F">
        <w:rPr>
          <w:b/>
          <w:bCs/>
          <w:noProof/>
          <w:color w:val="0B5484" w:themeColor="accent1" w:themeShade="80"/>
          <w:sz w:val="24"/>
          <w:szCs w:val="24"/>
        </w:rPr>
        <w:t>1</w:t>
      </w:r>
      <w:r w:rsidRPr="00175860">
        <w:rPr>
          <w:color w:val="0B5484" w:themeColor="accent1" w:themeShade="80"/>
          <w:sz w:val="24"/>
          <w:szCs w:val="24"/>
        </w:rPr>
        <w:fldChar w:fldCharType="end"/>
      </w:r>
      <w:r>
        <w:rPr>
          <w:color w:val="0B5484" w:themeColor="accent1" w:themeShade="80"/>
          <w:sz w:val="24"/>
          <w:szCs w:val="24"/>
        </w:rPr>
        <w:t xml:space="preserve">: </w:t>
      </w:r>
      <w:r w:rsidRPr="00175860">
        <w:rPr>
          <w:b/>
          <w:bCs/>
          <w:color w:val="0B5484" w:themeColor="accent1" w:themeShade="80"/>
          <w:sz w:val="24"/>
          <w:szCs w:val="24"/>
        </w:rPr>
        <w:t>Ke</w:t>
      </w:r>
      <w:r>
        <w:rPr>
          <w:b/>
          <w:bCs/>
          <w:color w:val="0B5484" w:themeColor="accent1" w:themeShade="80"/>
          <w:sz w:val="24"/>
          <w:szCs w:val="24"/>
        </w:rPr>
        <w:t>y Features of Mini-P</w:t>
      </w:r>
      <w:r w:rsidRPr="00175860">
        <w:rPr>
          <w:b/>
          <w:bCs/>
          <w:color w:val="0B5484" w:themeColor="accent1" w:themeShade="80"/>
          <w:sz w:val="24"/>
          <w:szCs w:val="24"/>
        </w:rPr>
        <w:t>ublics</w:t>
      </w:r>
      <w:r w:rsidR="00964FCF">
        <w:rPr>
          <w:b/>
          <w:bCs/>
          <w:color w:val="0B5484" w:themeColor="accent1" w:themeShade="80"/>
          <w:sz w:val="24"/>
          <w:szCs w:val="24"/>
        </w:rPr>
        <w:tab/>
      </w:r>
      <w:r w:rsidR="00964FCF">
        <w:rPr>
          <w:b/>
          <w:bCs/>
          <w:color w:val="0B5484" w:themeColor="accent1" w:themeShade="80"/>
          <w:sz w:val="24"/>
          <w:szCs w:val="24"/>
        </w:rPr>
        <w:tab/>
      </w:r>
      <w:r w:rsidR="00964FCF">
        <w:rPr>
          <w:b/>
          <w:bCs/>
          <w:color w:val="0B5484" w:themeColor="accent1" w:themeShade="80"/>
          <w:sz w:val="24"/>
          <w:szCs w:val="24"/>
        </w:rPr>
        <w:tab/>
      </w:r>
      <w:r w:rsidR="00964FCF">
        <w:rPr>
          <w:b/>
          <w:bCs/>
          <w:color w:val="0B5484" w:themeColor="accent1" w:themeShade="80"/>
          <w:sz w:val="24"/>
          <w:szCs w:val="24"/>
        </w:rPr>
        <w:tab/>
      </w:r>
      <w:r w:rsidR="00964FCF">
        <w:rPr>
          <w:b/>
          <w:bCs/>
          <w:color w:val="0B5484" w:themeColor="accent1" w:themeShade="80"/>
          <w:sz w:val="24"/>
          <w:szCs w:val="24"/>
        </w:rPr>
        <w:tab/>
      </w:r>
      <w:r w:rsidR="00964FCF">
        <w:rPr>
          <w:b/>
          <w:bCs/>
          <w:color w:val="0B5484" w:themeColor="accent1" w:themeShade="80"/>
          <w:sz w:val="24"/>
          <w:szCs w:val="24"/>
        </w:rPr>
        <w:tab/>
      </w:r>
      <w:r w:rsidR="00964FCF">
        <w:rPr>
          <w:b/>
          <w:bCs/>
          <w:color w:val="0B5484" w:themeColor="accent1" w:themeShade="80"/>
          <w:sz w:val="24"/>
          <w:szCs w:val="24"/>
        </w:rPr>
        <w:tab/>
        <w:t>10</w:t>
      </w:r>
    </w:p>
    <w:p w:rsidR="00ED581B" w:rsidRPr="00175860" w:rsidRDefault="00ED581B" w:rsidP="00ED581B">
      <w:pPr>
        <w:rPr>
          <w:b/>
          <w:bCs/>
          <w:color w:val="0B5484" w:themeColor="accent1" w:themeShade="80"/>
          <w:sz w:val="24"/>
          <w:szCs w:val="24"/>
        </w:rPr>
      </w:pPr>
      <w:r>
        <w:rPr>
          <w:b/>
          <w:bCs/>
          <w:color w:val="0B5484" w:themeColor="accent1" w:themeShade="80"/>
          <w:sz w:val="24"/>
          <w:szCs w:val="24"/>
        </w:rPr>
        <w:t xml:space="preserve">Table 2: </w:t>
      </w:r>
      <w:r w:rsidRPr="00175860">
        <w:rPr>
          <w:b/>
          <w:bCs/>
          <w:color w:val="0B5484" w:themeColor="accent1" w:themeShade="80"/>
          <w:sz w:val="24"/>
          <w:szCs w:val="24"/>
        </w:rPr>
        <w:t>Criteria for Case Analysis</w:t>
      </w:r>
      <w:r w:rsidR="00964FCF">
        <w:rPr>
          <w:b/>
          <w:bCs/>
          <w:color w:val="0B5484" w:themeColor="accent1" w:themeShade="80"/>
          <w:sz w:val="24"/>
          <w:szCs w:val="24"/>
        </w:rPr>
        <w:tab/>
      </w:r>
      <w:r w:rsidR="00964FCF">
        <w:rPr>
          <w:b/>
          <w:bCs/>
          <w:color w:val="0B5484" w:themeColor="accent1" w:themeShade="80"/>
          <w:sz w:val="24"/>
          <w:szCs w:val="24"/>
        </w:rPr>
        <w:tab/>
      </w:r>
      <w:r w:rsidR="00964FCF">
        <w:rPr>
          <w:b/>
          <w:bCs/>
          <w:color w:val="0B5484" w:themeColor="accent1" w:themeShade="80"/>
          <w:sz w:val="24"/>
          <w:szCs w:val="24"/>
        </w:rPr>
        <w:tab/>
      </w:r>
      <w:r w:rsidR="00964FCF">
        <w:rPr>
          <w:b/>
          <w:bCs/>
          <w:color w:val="0B5484" w:themeColor="accent1" w:themeShade="80"/>
          <w:sz w:val="24"/>
          <w:szCs w:val="24"/>
        </w:rPr>
        <w:tab/>
      </w:r>
      <w:r w:rsidR="00964FCF">
        <w:rPr>
          <w:b/>
          <w:bCs/>
          <w:color w:val="0B5484" w:themeColor="accent1" w:themeShade="80"/>
          <w:sz w:val="24"/>
          <w:szCs w:val="24"/>
        </w:rPr>
        <w:tab/>
      </w:r>
      <w:r w:rsidR="00964FCF">
        <w:rPr>
          <w:b/>
          <w:bCs/>
          <w:color w:val="0B5484" w:themeColor="accent1" w:themeShade="80"/>
          <w:sz w:val="24"/>
          <w:szCs w:val="24"/>
        </w:rPr>
        <w:tab/>
      </w:r>
      <w:r w:rsidR="00964FCF">
        <w:rPr>
          <w:b/>
          <w:bCs/>
          <w:color w:val="0B5484" w:themeColor="accent1" w:themeShade="80"/>
          <w:sz w:val="24"/>
          <w:szCs w:val="24"/>
        </w:rPr>
        <w:tab/>
      </w:r>
      <w:r w:rsidR="00964FCF">
        <w:rPr>
          <w:b/>
          <w:bCs/>
          <w:color w:val="0B5484" w:themeColor="accent1" w:themeShade="80"/>
          <w:sz w:val="24"/>
          <w:szCs w:val="24"/>
        </w:rPr>
        <w:tab/>
        <w:t>14</w:t>
      </w:r>
    </w:p>
    <w:p w:rsidR="00ED581B" w:rsidRDefault="00ED581B" w:rsidP="00ED581B">
      <w:pPr>
        <w:jc w:val="both"/>
        <w:rPr>
          <w:b/>
          <w:color w:val="0B5484" w:themeColor="accent1" w:themeShade="80"/>
          <w:sz w:val="24"/>
          <w:szCs w:val="24"/>
        </w:rPr>
      </w:pPr>
      <w:r>
        <w:rPr>
          <w:b/>
          <w:bCs/>
          <w:color w:val="0B5484" w:themeColor="accent1" w:themeShade="80"/>
          <w:sz w:val="24"/>
          <w:szCs w:val="24"/>
        </w:rPr>
        <w:t xml:space="preserve">Table 3: </w:t>
      </w:r>
      <w:r w:rsidR="00B20E1F">
        <w:rPr>
          <w:b/>
          <w:color w:val="0B5484" w:themeColor="accent1" w:themeShade="80"/>
          <w:sz w:val="24"/>
          <w:szCs w:val="24"/>
        </w:rPr>
        <w:t xml:space="preserve">Australia and New Zealand: </w:t>
      </w:r>
      <w:r w:rsidRPr="00C82A8C">
        <w:rPr>
          <w:b/>
          <w:bCs/>
          <w:color w:val="0B5484" w:themeColor="accent1" w:themeShade="80"/>
          <w:sz w:val="24"/>
          <w:szCs w:val="24"/>
        </w:rPr>
        <w:t xml:space="preserve">Overview of </w:t>
      </w:r>
      <w:r>
        <w:rPr>
          <w:b/>
          <w:color w:val="0B5484" w:themeColor="accent1" w:themeShade="80"/>
          <w:sz w:val="24"/>
          <w:szCs w:val="24"/>
        </w:rPr>
        <w:t>Mini-Public</w:t>
      </w:r>
      <w:r w:rsidRPr="00C82A8C">
        <w:rPr>
          <w:b/>
          <w:color w:val="0B5484" w:themeColor="accent1" w:themeShade="80"/>
          <w:sz w:val="24"/>
          <w:szCs w:val="24"/>
        </w:rPr>
        <w:t xml:space="preserve"> Cases</w:t>
      </w:r>
      <w:r w:rsidR="00964FCF">
        <w:rPr>
          <w:b/>
          <w:color w:val="0B5484" w:themeColor="accent1" w:themeShade="80"/>
          <w:sz w:val="24"/>
          <w:szCs w:val="24"/>
        </w:rPr>
        <w:tab/>
      </w:r>
      <w:r w:rsidR="00964FCF">
        <w:rPr>
          <w:b/>
          <w:color w:val="0B5484" w:themeColor="accent1" w:themeShade="80"/>
          <w:sz w:val="24"/>
          <w:szCs w:val="24"/>
        </w:rPr>
        <w:tab/>
      </w:r>
      <w:r w:rsidR="00964FCF">
        <w:rPr>
          <w:b/>
          <w:color w:val="0B5484" w:themeColor="accent1" w:themeShade="80"/>
          <w:sz w:val="24"/>
          <w:szCs w:val="24"/>
        </w:rPr>
        <w:tab/>
        <w:t>15</w:t>
      </w:r>
    </w:p>
    <w:p w:rsidR="00ED581B" w:rsidRDefault="00ED581B" w:rsidP="00ED581B">
      <w:pPr>
        <w:jc w:val="both"/>
        <w:rPr>
          <w:b/>
          <w:color w:val="0B5484" w:themeColor="accent1" w:themeShade="80"/>
          <w:sz w:val="24"/>
          <w:szCs w:val="24"/>
        </w:rPr>
      </w:pPr>
      <w:r w:rsidRPr="00C82A8C">
        <w:rPr>
          <w:b/>
          <w:bCs/>
          <w:color w:val="0B5484" w:themeColor="accent1" w:themeShade="80"/>
          <w:sz w:val="24"/>
          <w:szCs w:val="24"/>
        </w:rPr>
        <w:t xml:space="preserve">Table </w:t>
      </w:r>
      <w:r>
        <w:rPr>
          <w:b/>
          <w:bCs/>
          <w:color w:val="0B5484" w:themeColor="accent1" w:themeShade="80"/>
          <w:sz w:val="24"/>
          <w:szCs w:val="24"/>
        </w:rPr>
        <w:t xml:space="preserve">4: </w:t>
      </w:r>
      <w:r w:rsidR="00B20E1F">
        <w:rPr>
          <w:b/>
          <w:color w:val="0B5484" w:themeColor="accent1" w:themeShade="80"/>
          <w:sz w:val="24"/>
          <w:szCs w:val="24"/>
        </w:rPr>
        <w:t xml:space="preserve">Australia and New Zealand: </w:t>
      </w:r>
      <w:r>
        <w:rPr>
          <w:b/>
          <w:bCs/>
          <w:color w:val="0B5484" w:themeColor="accent1" w:themeShade="80"/>
          <w:sz w:val="24"/>
          <w:szCs w:val="24"/>
        </w:rPr>
        <w:t>Witnesses and Evidence in</w:t>
      </w:r>
      <w:r w:rsidRPr="00C82A8C">
        <w:rPr>
          <w:b/>
          <w:bCs/>
          <w:color w:val="0B5484" w:themeColor="accent1" w:themeShade="80"/>
          <w:sz w:val="24"/>
          <w:szCs w:val="24"/>
        </w:rPr>
        <w:t xml:space="preserve"> </w:t>
      </w:r>
      <w:r>
        <w:rPr>
          <w:b/>
          <w:color w:val="0B5484" w:themeColor="accent1" w:themeShade="80"/>
          <w:sz w:val="24"/>
          <w:szCs w:val="24"/>
        </w:rPr>
        <w:t xml:space="preserve">Mini-Public </w:t>
      </w:r>
      <w:r w:rsidRPr="00C82A8C">
        <w:rPr>
          <w:b/>
          <w:color w:val="0B5484" w:themeColor="accent1" w:themeShade="80"/>
          <w:sz w:val="24"/>
          <w:szCs w:val="24"/>
        </w:rPr>
        <w:t>Cases</w:t>
      </w:r>
      <w:r w:rsidR="00964FCF">
        <w:rPr>
          <w:b/>
          <w:color w:val="0B5484" w:themeColor="accent1" w:themeShade="80"/>
          <w:sz w:val="24"/>
          <w:szCs w:val="24"/>
        </w:rPr>
        <w:tab/>
        <w:t>17</w:t>
      </w:r>
    </w:p>
    <w:p w:rsidR="00494EAD" w:rsidRDefault="00494EAD" w:rsidP="00494EAD">
      <w:pPr>
        <w:jc w:val="both"/>
        <w:rPr>
          <w:b/>
          <w:color w:val="0B5484" w:themeColor="accent1" w:themeShade="80"/>
          <w:sz w:val="24"/>
          <w:szCs w:val="24"/>
        </w:rPr>
      </w:pPr>
      <w:r w:rsidRPr="00C82A8C">
        <w:rPr>
          <w:b/>
          <w:bCs/>
          <w:color w:val="0B5484" w:themeColor="accent1" w:themeShade="80"/>
          <w:sz w:val="24"/>
          <w:szCs w:val="24"/>
        </w:rPr>
        <w:t xml:space="preserve">Table </w:t>
      </w:r>
      <w:r>
        <w:rPr>
          <w:b/>
          <w:bCs/>
          <w:color w:val="0B5484" w:themeColor="accent1" w:themeShade="80"/>
          <w:sz w:val="24"/>
          <w:szCs w:val="24"/>
        </w:rPr>
        <w:t>5:</w:t>
      </w:r>
      <w:r w:rsidRPr="00C82A8C">
        <w:rPr>
          <w:b/>
          <w:bCs/>
          <w:color w:val="0B5484" w:themeColor="accent1" w:themeShade="80"/>
          <w:sz w:val="24"/>
          <w:szCs w:val="24"/>
        </w:rPr>
        <w:t xml:space="preserve"> </w:t>
      </w:r>
      <w:r w:rsidR="00B20E1F">
        <w:rPr>
          <w:b/>
          <w:color w:val="0B5484" w:themeColor="accent1" w:themeShade="80"/>
          <w:sz w:val="24"/>
          <w:szCs w:val="24"/>
        </w:rPr>
        <w:t xml:space="preserve">Australia and New Zealand: </w:t>
      </w:r>
      <w:r>
        <w:rPr>
          <w:b/>
          <w:bCs/>
          <w:color w:val="0B5484" w:themeColor="accent1" w:themeShade="80"/>
          <w:sz w:val="24"/>
          <w:szCs w:val="24"/>
        </w:rPr>
        <w:t>Impact in</w:t>
      </w:r>
      <w:r w:rsidRPr="00C82A8C">
        <w:rPr>
          <w:b/>
          <w:bCs/>
          <w:color w:val="0B5484" w:themeColor="accent1" w:themeShade="80"/>
          <w:sz w:val="24"/>
          <w:szCs w:val="24"/>
        </w:rPr>
        <w:t xml:space="preserve"> </w:t>
      </w:r>
      <w:r>
        <w:rPr>
          <w:b/>
          <w:color w:val="0B5484" w:themeColor="accent1" w:themeShade="80"/>
          <w:sz w:val="24"/>
          <w:szCs w:val="24"/>
        </w:rPr>
        <w:t xml:space="preserve">Mini-Public </w:t>
      </w:r>
      <w:r w:rsidRPr="00C82A8C">
        <w:rPr>
          <w:b/>
          <w:color w:val="0B5484" w:themeColor="accent1" w:themeShade="80"/>
          <w:sz w:val="24"/>
          <w:szCs w:val="24"/>
        </w:rPr>
        <w:t>Cases</w:t>
      </w:r>
      <w:r w:rsidR="00964FCF">
        <w:rPr>
          <w:b/>
          <w:color w:val="0B5484" w:themeColor="accent1" w:themeShade="80"/>
          <w:sz w:val="24"/>
          <w:szCs w:val="24"/>
        </w:rPr>
        <w:tab/>
      </w:r>
      <w:r w:rsidR="00964FCF">
        <w:rPr>
          <w:b/>
          <w:color w:val="0B5484" w:themeColor="accent1" w:themeShade="80"/>
          <w:sz w:val="24"/>
          <w:szCs w:val="24"/>
        </w:rPr>
        <w:tab/>
      </w:r>
      <w:r w:rsidR="00964FCF">
        <w:rPr>
          <w:b/>
          <w:color w:val="0B5484" w:themeColor="accent1" w:themeShade="80"/>
          <w:sz w:val="24"/>
          <w:szCs w:val="24"/>
        </w:rPr>
        <w:tab/>
        <w:t>18</w:t>
      </w:r>
    </w:p>
    <w:p w:rsidR="00494EAD" w:rsidRDefault="00494EAD" w:rsidP="00494EAD">
      <w:pPr>
        <w:jc w:val="both"/>
        <w:rPr>
          <w:b/>
          <w:color w:val="0B5484" w:themeColor="accent1" w:themeShade="80"/>
          <w:sz w:val="24"/>
          <w:szCs w:val="24"/>
        </w:rPr>
      </w:pPr>
      <w:r w:rsidRPr="00C82A8C">
        <w:rPr>
          <w:b/>
          <w:bCs/>
          <w:color w:val="0B5484" w:themeColor="accent1" w:themeShade="80"/>
          <w:sz w:val="24"/>
          <w:szCs w:val="24"/>
        </w:rPr>
        <w:t xml:space="preserve">Table </w:t>
      </w:r>
      <w:r>
        <w:rPr>
          <w:b/>
          <w:bCs/>
          <w:color w:val="0B5484" w:themeColor="accent1" w:themeShade="80"/>
          <w:sz w:val="24"/>
          <w:szCs w:val="24"/>
        </w:rPr>
        <w:t xml:space="preserve">6: </w:t>
      </w:r>
      <w:r w:rsidR="00B20E1F" w:rsidRPr="00D943A4">
        <w:rPr>
          <w:b/>
          <w:color w:val="0B5484" w:themeColor="accent1" w:themeShade="80"/>
          <w:sz w:val="24"/>
          <w:szCs w:val="24"/>
        </w:rPr>
        <w:t>Denmark and Finland</w:t>
      </w:r>
      <w:r w:rsidR="00B20E1F">
        <w:rPr>
          <w:b/>
          <w:color w:val="0B5484" w:themeColor="accent1" w:themeShade="80"/>
          <w:sz w:val="24"/>
          <w:szCs w:val="24"/>
        </w:rPr>
        <w:t xml:space="preserve">: </w:t>
      </w:r>
      <w:r w:rsidRPr="00C82A8C">
        <w:rPr>
          <w:b/>
          <w:bCs/>
          <w:color w:val="0B5484" w:themeColor="accent1" w:themeShade="80"/>
          <w:sz w:val="24"/>
          <w:szCs w:val="24"/>
        </w:rPr>
        <w:t xml:space="preserve">Overview of </w:t>
      </w:r>
      <w:r>
        <w:rPr>
          <w:b/>
          <w:color w:val="0B5484" w:themeColor="accent1" w:themeShade="80"/>
          <w:sz w:val="24"/>
          <w:szCs w:val="24"/>
        </w:rPr>
        <w:t>Mini-Public</w:t>
      </w:r>
      <w:r w:rsidRPr="00C82A8C">
        <w:rPr>
          <w:b/>
          <w:color w:val="0B5484" w:themeColor="accent1" w:themeShade="80"/>
          <w:sz w:val="24"/>
          <w:szCs w:val="24"/>
        </w:rPr>
        <w:t xml:space="preserve"> Cases</w:t>
      </w:r>
      <w:r w:rsidR="00964FCF">
        <w:rPr>
          <w:b/>
          <w:color w:val="0B5484" w:themeColor="accent1" w:themeShade="80"/>
          <w:sz w:val="24"/>
          <w:szCs w:val="24"/>
        </w:rPr>
        <w:tab/>
      </w:r>
      <w:r w:rsidR="00964FCF">
        <w:rPr>
          <w:b/>
          <w:color w:val="0B5484" w:themeColor="accent1" w:themeShade="80"/>
          <w:sz w:val="24"/>
          <w:szCs w:val="24"/>
        </w:rPr>
        <w:tab/>
      </w:r>
      <w:r w:rsidR="00964FCF">
        <w:rPr>
          <w:b/>
          <w:color w:val="0B5484" w:themeColor="accent1" w:themeShade="80"/>
          <w:sz w:val="24"/>
          <w:szCs w:val="24"/>
        </w:rPr>
        <w:tab/>
      </w:r>
      <w:r w:rsidR="00964FCF">
        <w:rPr>
          <w:b/>
          <w:color w:val="0B5484" w:themeColor="accent1" w:themeShade="80"/>
          <w:sz w:val="24"/>
          <w:szCs w:val="24"/>
        </w:rPr>
        <w:tab/>
        <w:t>22</w:t>
      </w:r>
    </w:p>
    <w:p w:rsidR="00494EAD" w:rsidRDefault="00494EAD" w:rsidP="00494EAD">
      <w:pPr>
        <w:jc w:val="both"/>
        <w:rPr>
          <w:b/>
          <w:color w:val="0B5484" w:themeColor="accent1" w:themeShade="80"/>
          <w:sz w:val="24"/>
          <w:szCs w:val="24"/>
        </w:rPr>
      </w:pPr>
      <w:r w:rsidRPr="00C82A8C">
        <w:rPr>
          <w:b/>
          <w:bCs/>
          <w:color w:val="0B5484" w:themeColor="accent1" w:themeShade="80"/>
          <w:sz w:val="24"/>
          <w:szCs w:val="24"/>
        </w:rPr>
        <w:t xml:space="preserve">Table </w:t>
      </w:r>
      <w:r>
        <w:rPr>
          <w:b/>
          <w:bCs/>
          <w:color w:val="0B5484" w:themeColor="accent1" w:themeShade="80"/>
          <w:sz w:val="24"/>
          <w:szCs w:val="24"/>
        </w:rPr>
        <w:t xml:space="preserve">7: </w:t>
      </w:r>
      <w:r w:rsidR="00B20E1F" w:rsidRPr="00D943A4">
        <w:rPr>
          <w:b/>
          <w:color w:val="0B5484" w:themeColor="accent1" w:themeShade="80"/>
          <w:sz w:val="24"/>
          <w:szCs w:val="24"/>
        </w:rPr>
        <w:t>Denmark and Finland</w:t>
      </w:r>
      <w:r w:rsidR="00B20E1F">
        <w:rPr>
          <w:b/>
          <w:color w:val="0B5484" w:themeColor="accent1" w:themeShade="80"/>
          <w:sz w:val="24"/>
          <w:szCs w:val="24"/>
        </w:rPr>
        <w:t xml:space="preserve">: </w:t>
      </w:r>
      <w:r>
        <w:rPr>
          <w:b/>
          <w:bCs/>
          <w:color w:val="0B5484" w:themeColor="accent1" w:themeShade="80"/>
          <w:sz w:val="24"/>
          <w:szCs w:val="24"/>
        </w:rPr>
        <w:t>Witnesses and Evidence in</w:t>
      </w:r>
      <w:r w:rsidRPr="00C82A8C">
        <w:rPr>
          <w:b/>
          <w:bCs/>
          <w:color w:val="0B5484" w:themeColor="accent1" w:themeShade="80"/>
          <w:sz w:val="24"/>
          <w:szCs w:val="24"/>
        </w:rPr>
        <w:t xml:space="preserve"> </w:t>
      </w:r>
      <w:r>
        <w:rPr>
          <w:b/>
          <w:color w:val="0B5484" w:themeColor="accent1" w:themeShade="80"/>
          <w:sz w:val="24"/>
          <w:szCs w:val="24"/>
        </w:rPr>
        <w:t xml:space="preserve">Mini-Public </w:t>
      </w:r>
      <w:r w:rsidRPr="00C82A8C">
        <w:rPr>
          <w:b/>
          <w:color w:val="0B5484" w:themeColor="accent1" w:themeShade="80"/>
          <w:sz w:val="24"/>
          <w:szCs w:val="24"/>
        </w:rPr>
        <w:t>Cases</w:t>
      </w:r>
      <w:r w:rsidR="00964FCF">
        <w:rPr>
          <w:b/>
          <w:color w:val="0B5484" w:themeColor="accent1" w:themeShade="80"/>
          <w:sz w:val="24"/>
          <w:szCs w:val="24"/>
        </w:rPr>
        <w:tab/>
      </w:r>
      <w:r w:rsidR="00964FCF">
        <w:rPr>
          <w:b/>
          <w:color w:val="0B5484" w:themeColor="accent1" w:themeShade="80"/>
          <w:sz w:val="24"/>
          <w:szCs w:val="24"/>
        </w:rPr>
        <w:tab/>
        <w:t>23</w:t>
      </w:r>
    </w:p>
    <w:p w:rsidR="00BC070F" w:rsidRDefault="00BC070F" w:rsidP="00BC070F">
      <w:pPr>
        <w:jc w:val="both"/>
        <w:rPr>
          <w:b/>
          <w:color w:val="0B5484" w:themeColor="accent1" w:themeShade="80"/>
          <w:sz w:val="24"/>
          <w:szCs w:val="24"/>
        </w:rPr>
      </w:pPr>
      <w:r w:rsidRPr="00C82A8C">
        <w:rPr>
          <w:b/>
          <w:bCs/>
          <w:color w:val="0B5484" w:themeColor="accent1" w:themeShade="80"/>
          <w:sz w:val="24"/>
          <w:szCs w:val="24"/>
        </w:rPr>
        <w:t xml:space="preserve">Table </w:t>
      </w:r>
      <w:r>
        <w:rPr>
          <w:b/>
          <w:bCs/>
          <w:color w:val="0B5484" w:themeColor="accent1" w:themeShade="80"/>
          <w:sz w:val="24"/>
          <w:szCs w:val="24"/>
        </w:rPr>
        <w:t xml:space="preserve">8: </w:t>
      </w:r>
      <w:r w:rsidR="00B20E1F" w:rsidRPr="00D943A4">
        <w:rPr>
          <w:b/>
          <w:color w:val="0B5484" w:themeColor="accent1" w:themeShade="80"/>
          <w:sz w:val="24"/>
          <w:szCs w:val="24"/>
        </w:rPr>
        <w:t>Denmark and Finland</w:t>
      </w:r>
      <w:r w:rsidR="00B20E1F">
        <w:rPr>
          <w:b/>
          <w:color w:val="0B5484" w:themeColor="accent1" w:themeShade="80"/>
          <w:sz w:val="24"/>
          <w:szCs w:val="24"/>
        </w:rPr>
        <w:t xml:space="preserve">: </w:t>
      </w:r>
      <w:r>
        <w:rPr>
          <w:b/>
          <w:bCs/>
          <w:color w:val="0B5484" w:themeColor="accent1" w:themeShade="80"/>
          <w:sz w:val="24"/>
          <w:szCs w:val="24"/>
        </w:rPr>
        <w:t>Impact in</w:t>
      </w:r>
      <w:r w:rsidRPr="00C82A8C">
        <w:rPr>
          <w:b/>
          <w:bCs/>
          <w:color w:val="0B5484" w:themeColor="accent1" w:themeShade="80"/>
          <w:sz w:val="24"/>
          <w:szCs w:val="24"/>
        </w:rPr>
        <w:t xml:space="preserve"> </w:t>
      </w:r>
      <w:r>
        <w:rPr>
          <w:b/>
          <w:color w:val="0B5484" w:themeColor="accent1" w:themeShade="80"/>
          <w:sz w:val="24"/>
          <w:szCs w:val="24"/>
        </w:rPr>
        <w:t xml:space="preserve">Mini-Public </w:t>
      </w:r>
      <w:r w:rsidRPr="00C82A8C">
        <w:rPr>
          <w:b/>
          <w:color w:val="0B5484" w:themeColor="accent1" w:themeShade="80"/>
          <w:sz w:val="24"/>
          <w:szCs w:val="24"/>
        </w:rPr>
        <w:t>Cases</w:t>
      </w:r>
      <w:r w:rsidR="00964FCF">
        <w:rPr>
          <w:b/>
          <w:color w:val="0B5484" w:themeColor="accent1" w:themeShade="80"/>
          <w:sz w:val="24"/>
          <w:szCs w:val="24"/>
        </w:rPr>
        <w:tab/>
      </w:r>
      <w:r w:rsidR="00964FCF">
        <w:rPr>
          <w:b/>
          <w:color w:val="0B5484" w:themeColor="accent1" w:themeShade="80"/>
          <w:sz w:val="24"/>
          <w:szCs w:val="24"/>
        </w:rPr>
        <w:tab/>
      </w:r>
      <w:r w:rsidR="00964FCF">
        <w:rPr>
          <w:b/>
          <w:color w:val="0B5484" w:themeColor="accent1" w:themeShade="80"/>
          <w:sz w:val="24"/>
          <w:szCs w:val="24"/>
        </w:rPr>
        <w:tab/>
      </w:r>
      <w:r w:rsidR="00964FCF">
        <w:rPr>
          <w:b/>
          <w:color w:val="0B5484" w:themeColor="accent1" w:themeShade="80"/>
          <w:sz w:val="24"/>
          <w:szCs w:val="24"/>
        </w:rPr>
        <w:tab/>
        <w:t>24</w:t>
      </w:r>
    </w:p>
    <w:p w:rsidR="00BC070F" w:rsidRDefault="00BC070F" w:rsidP="00BC070F">
      <w:pPr>
        <w:jc w:val="both"/>
        <w:rPr>
          <w:b/>
          <w:color w:val="0B5484" w:themeColor="accent1" w:themeShade="80"/>
          <w:sz w:val="24"/>
          <w:szCs w:val="24"/>
        </w:rPr>
      </w:pPr>
      <w:r>
        <w:rPr>
          <w:b/>
          <w:bCs/>
          <w:color w:val="0B5484" w:themeColor="accent1" w:themeShade="80"/>
          <w:sz w:val="24"/>
          <w:szCs w:val="24"/>
        </w:rPr>
        <w:t xml:space="preserve">Table 9: </w:t>
      </w:r>
      <w:r w:rsidR="00B20E1F">
        <w:rPr>
          <w:b/>
          <w:color w:val="0B5484" w:themeColor="accent1" w:themeShade="80"/>
          <w:sz w:val="24"/>
          <w:szCs w:val="24"/>
        </w:rPr>
        <w:t>France</w:t>
      </w:r>
      <w:r w:rsidR="00B20E1F">
        <w:rPr>
          <w:b/>
          <w:bCs/>
          <w:color w:val="0B5484" w:themeColor="accent1" w:themeShade="80"/>
          <w:sz w:val="24"/>
          <w:szCs w:val="24"/>
        </w:rPr>
        <w:t xml:space="preserve">: </w:t>
      </w:r>
      <w:r w:rsidRPr="00C82A8C">
        <w:rPr>
          <w:b/>
          <w:bCs/>
          <w:color w:val="0B5484" w:themeColor="accent1" w:themeShade="80"/>
          <w:sz w:val="24"/>
          <w:szCs w:val="24"/>
        </w:rPr>
        <w:t xml:space="preserve">Overview of </w:t>
      </w:r>
      <w:r>
        <w:rPr>
          <w:b/>
          <w:color w:val="0B5484" w:themeColor="accent1" w:themeShade="80"/>
          <w:sz w:val="24"/>
          <w:szCs w:val="24"/>
        </w:rPr>
        <w:t>Mini-Public</w:t>
      </w:r>
      <w:r w:rsidRPr="00C82A8C">
        <w:rPr>
          <w:b/>
          <w:color w:val="0B5484" w:themeColor="accent1" w:themeShade="80"/>
          <w:sz w:val="24"/>
          <w:szCs w:val="24"/>
        </w:rPr>
        <w:t xml:space="preserve"> Cases</w:t>
      </w:r>
      <w:r w:rsidR="00964FCF">
        <w:rPr>
          <w:b/>
          <w:color w:val="0B5484" w:themeColor="accent1" w:themeShade="80"/>
          <w:sz w:val="24"/>
          <w:szCs w:val="24"/>
        </w:rPr>
        <w:tab/>
      </w:r>
      <w:r w:rsidR="00964FCF">
        <w:rPr>
          <w:b/>
          <w:color w:val="0B5484" w:themeColor="accent1" w:themeShade="80"/>
          <w:sz w:val="24"/>
          <w:szCs w:val="24"/>
        </w:rPr>
        <w:tab/>
      </w:r>
      <w:r w:rsidR="00964FCF">
        <w:rPr>
          <w:b/>
          <w:color w:val="0B5484" w:themeColor="accent1" w:themeShade="80"/>
          <w:sz w:val="24"/>
          <w:szCs w:val="24"/>
        </w:rPr>
        <w:tab/>
      </w:r>
      <w:r w:rsidR="00964FCF">
        <w:rPr>
          <w:b/>
          <w:color w:val="0B5484" w:themeColor="accent1" w:themeShade="80"/>
          <w:sz w:val="24"/>
          <w:szCs w:val="24"/>
        </w:rPr>
        <w:tab/>
      </w:r>
      <w:r w:rsidR="00964FCF">
        <w:rPr>
          <w:b/>
          <w:color w:val="0B5484" w:themeColor="accent1" w:themeShade="80"/>
          <w:sz w:val="24"/>
          <w:szCs w:val="24"/>
        </w:rPr>
        <w:tab/>
      </w:r>
      <w:r w:rsidR="00964FCF">
        <w:rPr>
          <w:b/>
          <w:color w:val="0B5484" w:themeColor="accent1" w:themeShade="80"/>
          <w:sz w:val="24"/>
          <w:szCs w:val="24"/>
        </w:rPr>
        <w:tab/>
        <w:t>26</w:t>
      </w:r>
    </w:p>
    <w:p w:rsidR="00BC070F" w:rsidRDefault="00BC070F" w:rsidP="00BC070F">
      <w:pPr>
        <w:jc w:val="both"/>
        <w:rPr>
          <w:b/>
          <w:color w:val="0B5484" w:themeColor="accent1" w:themeShade="80"/>
          <w:sz w:val="24"/>
          <w:szCs w:val="24"/>
        </w:rPr>
      </w:pPr>
      <w:r w:rsidRPr="00C82A8C">
        <w:rPr>
          <w:b/>
          <w:bCs/>
          <w:color w:val="0B5484" w:themeColor="accent1" w:themeShade="80"/>
          <w:sz w:val="24"/>
          <w:szCs w:val="24"/>
        </w:rPr>
        <w:t xml:space="preserve">Table </w:t>
      </w:r>
      <w:r>
        <w:rPr>
          <w:b/>
          <w:bCs/>
          <w:color w:val="0B5484" w:themeColor="accent1" w:themeShade="80"/>
          <w:sz w:val="24"/>
          <w:szCs w:val="24"/>
        </w:rPr>
        <w:t xml:space="preserve">10: </w:t>
      </w:r>
      <w:r w:rsidR="00B20E1F">
        <w:rPr>
          <w:b/>
          <w:color w:val="0B5484" w:themeColor="accent1" w:themeShade="80"/>
          <w:sz w:val="24"/>
          <w:szCs w:val="24"/>
        </w:rPr>
        <w:t>France</w:t>
      </w:r>
      <w:r w:rsidR="00B20E1F">
        <w:rPr>
          <w:b/>
          <w:bCs/>
          <w:color w:val="0B5484" w:themeColor="accent1" w:themeShade="80"/>
          <w:sz w:val="24"/>
          <w:szCs w:val="24"/>
        </w:rPr>
        <w:t xml:space="preserve">: </w:t>
      </w:r>
      <w:r>
        <w:rPr>
          <w:b/>
          <w:bCs/>
          <w:color w:val="0B5484" w:themeColor="accent1" w:themeShade="80"/>
          <w:sz w:val="24"/>
          <w:szCs w:val="24"/>
        </w:rPr>
        <w:t>Witnesses and Evidence in</w:t>
      </w:r>
      <w:r w:rsidRPr="00C82A8C">
        <w:rPr>
          <w:b/>
          <w:bCs/>
          <w:color w:val="0B5484" w:themeColor="accent1" w:themeShade="80"/>
          <w:sz w:val="24"/>
          <w:szCs w:val="24"/>
        </w:rPr>
        <w:t xml:space="preserve"> </w:t>
      </w:r>
      <w:r>
        <w:rPr>
          <w:b/>
          <w:color w:val="0B5484" w:themeColor="accent1" w:themeShade="80"/>
          <w:sz w:val="24"/>
          <w:szCs w:val="24"/>
        </w:rPr>
        <w:t xml:space="preserve">Mini-Public </w:t>
      </w:r>
      <w:r w:rsidRPr="00C82A8C">
        <w:rPr>
          <w:b/>
          <w:color w:val="0B5484" w:themeColor="accent1" w:themeShade="80"/>
          <w:sz w:val="24"/>
          <w:szCs w:val="24"/>
        </w:rPr>
        <w:t>Cases</w:t>
      </w:r>
      <w:r w:rsidR="00964FCF">
        <w:rPr>
          <w:b/>
          <w:color w:val="0B5484" w:themeColor="accent1" w:themeShade="80"/>
          <w:sz w:val="24"/>
          <w:szCs w:val="24"/>
        </w:rPr>
        <w:tab/>
      </w:r>
      <w:r w:rsidR="00964FCF">
        <w:rPr>
          <w:b/>
          <w:color w:val="0B5484" w:themeColor="accent1" w:themeShade="80"/>
          <w:sz w:val="24"/>
          <w:szCs w:val="24"/>
        </w:rPr>
        <w:tab/>
      </w:r>
      <w:r w:rsidR="00964FCF">
        <w:rPr>
          <w:b/>
          <w:color w:val="0B5484" w:themeColor="accent1" w:themeShade="80"/>
          <w:sz w:val="24"/>
          <w:szCs w:val="24"/>
        </w:rPr>
        <w:tab/>
      </w:r>
      <w:r w:rsidR="00964FCF">
        <w:rPr>
          <w:b/>
          <w:color w:val="0B5484" w:themeColor="accent1" w:themeShade="80"/>
          <w:sz w:val="24"/>
          <w:szCs w:val="24"/>
        </w:rPr>
        <w:tab/>
        <w:t>28</w:t>
      </w:r>
    </w:p>
    <w:p w:rsidR="00BC070F" w:rsidRDefault="00BC070F" w:rsidP="00BC070F">
      <w:pPr>
        <w:jc w:val="both"/>
        <w:rPr>
          <w:b/>
          <w:color w:val="0B5484" w:themeColor="accent1" w:themeShade="80"/>
          <w:sz w:val="24"/>
          <w:szCs w:val="24"/>
        </w:rPr>
      </w:pPr>
      <w:r w:rsidRPr="00C82A8C">
        <w:rPr>
          <w:b/>
          <w:bCs/>
          <w:color w:val="0B5484" w:themeColor="accent1" w:themeShade="80"/>
          <w:sz w:val="24"/>
          <w:szCs w:val="24"/>
        </w:rPr>
        <w:t xml:space="preserve">Table </w:t>
      </w:r>
      <w:r>
        <w:rPr>
          <w:b/>
          <w:bCs/>
          <w:color w:val="0B5484" w:themeColor="accent1" w:themeShade="80"/>
          <w:sz w:val="24"/>
          <w:szCs w:val="24"/>
        </w:rPr>
        <w:t>11:</w:t>
      </w:r>
      <w:r w:rsidRPr="00C82A8C">
        <w:rPr>
          <w:b/>
          <w:bCs/>
          <w:color w:val="0B5484" w:themeColor="accent1" w:themeShade="80"/>
          <w:sz w:val="24"/>
          <w:szCs w:val="24"/>
        </w:rPr>
        <w:t xml:space="preserve"> </w:t>
      </w:r>
      <w:r w:rsidR="00B20E1F">
        <w:rPr>
          <w:b/>
          <w:color w:val="0B5484" w:themeColor="accent1" w:themeShade="80"/>
          <w:sz w:val="24"/>
          <w:szCs w:val="24"/>
        </w:rPr>
        <w:t>France</w:t>
      </w:r>
      <w:r w:rsidR="00B20E1F">
        <w:rPr>
          <w:b/>
          <w:bCs/>
          <w:color w:val="0B5484" w:themeColor="accent1" w:themeShade="80"/>
          <w:sz w:val="24"/>
          <w:szCs w:val="24"/>
        </w:rPr>
        <w:t xml:space="preserve">: </w:t>
      </w:r>
      <w:r>
        <w:rPr>
          <w:b/>
          <w:bCs/>
          <w:color w:val="0B5484" w:themeColor="accent1" w:themeShade="80"/>
          <w:sz w:val="24"/>
          <w:szCs w:val="24"/>
        </w:rPr>
        <w:t>Impact in</w:t>
      </w:r>
      <w:r w:rsidRPr="00C82A8C">
        <w:rPr>
          <w:b/>
          <w:bCs/>
          <w:color w:val="0B5484" w:themeColor="accent1" w:themeShade="80"/>
          <w:sz w:val="24"/>
          <w:szCs w:val="24"/>
        </w:rPr>
        <w:t xml:space="preserve"> </w:t>
      </w:r>
      <w:r>
        <w:rPr>
          <w:b/>
          <w:color w:val="0B5484" w:themeColor="accent1" w:themeShade="80"/>
          <w:sz w:val="24"/>
          <w:szCs w:val="24"/>
        </w:rPr>
        <w:t xml:space="preserve">Mini-Public </w:t>
      </w:r>
      <w:r w:rsidRPr="00C82A8C">
        <w:rPr>
          <w:b/>
          <w:color w:val="0B5484" w:themeColor="accent1" w:themeShade="80"/>
          <w:sz w:val="24"/>
          <w:szCs w:val="24"/>
        </w:rPr>
        <w:t>Cases</w:t>
      </w:r>
      <w:r w:rsidR="00964FCF">
        <w:rPr>
          <w:b/>
          <w:color w:val="0B5484" w:themeColor="accent1" w:themeShade="80"/>
          <w:sz w:val="24"/>
          <w:szCs w:val="24"/>
        </w:rPr>
        <w:tab/>
      </w:r>
      <w:r w:rsidR="00964FCF">
        <w:rPr>
          <w:b/>
          <w:color w:val="0B5484" w:themeColor="accent1" w:themeShade="80"/>
          <w:sz w:val="24"/>
          <w:szCs w:val="24"/>
        </w:rPr>
        <w:tab/>
      </w:r>
      <w:r w:rsidR="00964FCF">
        <w:rPr>
          <w:b/>
          <w:color w:val="0B5484" w:themeColor="accent1" w:themeShade="80"/>
          <w:sz w:val="24"/>
          <w:szCs w:val="24"/>
        </w:rPr>
        <w:tab/>
      </w:r>
      <w:r w:rsidR="00964FCF">
        <w:rPr>
          <w:b/>
          <w:color w:val="0B5484" w:themeColor="accent1" w:themeShade="80"/>
          <w:sz w:val="24"/>
          <w:szCs w:val="24"/>
        </w:rPr>
        <w:tab/>
      </w:r>
      <w:r w:rsidR="00964FCF">
        <w:rPr>
          <w:b/>
          <w:color w:val="0B5484" w:themeColor="accent1" w:themeShade="80"/>
          <w:sz w:val="24"/>
          <w:szCs w:val="24"/>
        </w:rPr>
        <w:tab/>
      </w:r>
      <w:r w:rsidR="00964FCF">
        <w:rPr>
          <w:b/>
          <w:color w:val="0B5484" w:themeColor="accent1" w:themeShade="80"/>
          <w:sz w:val="24"/>
          <w:szCs w:val="24"/>
        </w:rPr>
        <w:tab/>
        <w:t>29</w:t>
      </w:r>
    </w:p>
    <w:p w:rsidR="00BC070F" w:rsidRDefault="00BC070F" w:rsidP="00BC070F">
      <w:pPr>
        <w:jc w:val="both"/>
        <w:rPr>
          <w:b/>
          <w:color w:val="0B5484" w:themeColor="accent1" w:themeShade="80"/>
          <w:sz w:val="24"/>
          <w:szCs w:val="24"/>
        </w:rPr>
      </w:pPr>
      <w:r>
        <w:rPr>
          <w:b/>
          <w:bCs/>
          <w:color w:val="0B5484" w:themeColor="accent1" w:themeShade="80"/>
          <w:sz w:val="24"/>
          <w:szCs w:val="24"/>
        </w:rPr>
        <w:t xml:space="preserve">Table 12: </w:t>
      </w:r>
      <w:r w:rsidR="00B20E1F">
        <w:rPr>
          <w:b/>
          <w:color w:val="0B5484" w:themeColor="accent1" w:themeShade="80"/>
          <w:sz w:val="24"/>
          <w:szCs w:val="24"/>
        </w:rPr>
        <w:t>Germany</w:t>
      </w:r>
      <w:r w:rsidR="00B20E1F" w:rsidRPr="00C82A8C">
        <w:rPr>
          <w:b/>
          <w:color w:val="0B5484" w:themeColor="accent1" w:themeShade="80"/>
          <w:sz w:val="24"/>
          <w:szCs w:val="24"/>
        </w:rPr>
        <w:t xml:space="preserve"> and </w:t>
      </w:r>
      <w:r w:rsidR="00B20E1F">
        <w:rPr>
          <w:b/>
          <w:color w:val="0B5484" w:themeColor="accent1" w:themeShade="80"/>
          <w:sz w:val="24"/>
          <w:szCs w:val="24"/>
        </w:rPr>
        <w:t xml:space="preserve">The Netherlands: </w:t>
      </w:r>
      <w:r w:rsidRPr="00C82A8C">
        <w:rPr>
          <w:b/>
          <w:bCs/>
          <w:color w:val="0B5484" w:themeColor="accent1" w:themeShade="80"/>
          <w:sz w:val="24"/>
          <w:szCs w:val="24"/>
        </w:rPr>
        <w:t xml:space="preserve">Overview of </w:t>
      </w:r>
      <w:r>
        <w:rPr>
          <w:b/>
          <w:color w:val="0B5484" w:themeColor="accent1" w:themeShade="80"/>
          <w:sz w:val="24"/>
          <w:szCs w:val="24"/>
        </w:rPr>
        <w:t>Mini-Public</w:t>
      </w:r>
      <w:r w:rsidRPr="00C82A8C">
        <w:rPr>
          <w:b/>
          <w:color w:val="0B5484" w:themeColor="accent1" w:themeShade="80"/>
          <w:sz w:val="24"/>
          <w:szCs w:val="24"/>
        </w:rPr>
        <w:t xml:space="preserve"> Cases</w:t>
      </w:r>
      <w:r w:rsidR="00964FCF">
        <w:rPr>
          <w:b/>
          <w:color w:val="0B5484" w:themeColor="accent1" w:themeShade="80"/>
          <w:sz w:val="24"/>
          <w:szCs w:val="24"/>
        </w:rPr>
        <w:tab/>
      </w:r>
      <w:r w:rsidR="00964FCF">
        <w:rPr>
          <w:b/>
          <w:color w:val="0B5484" w:themeColor="accent1" w:themeShade="80"/>
          <w:sz w:val="24"/>
          <w:szCs w:val="24"/>
        </w:rPr>
        <w:tab/>
        <w:t>31</w:t>
      </w:r>
    </w:p>
    <w:p w:rsidR="00964FCF" w:rsidRDefault="00BC070F" w:rsidP="00BC070F">
      <w:pPr>
        <w:jc w:val="both"/>
        <w:rPr>
          <w:b/>
          <w:bCs/>
          <w:color w:val="0B5484" w:themeColor="accent1" w:themeShade="80"/>
          <w:sz w:val="24"/>
          <w:szCs w:val="24"/>
        </w:rPr>
      </w:pPr>
      <w:r w:rsidRPr="00C82A8C">
        <w:rPr>
          <w:b/>
          <w:bCs/>
          <w:color w:val="0B5484" w:themeColor="accent1" w:themeShade="80"/>
          <w:sz w:val="24"/>
          <w:szCs w:val="24"/>
        </w:rPr>
        <w:t xml:space="preserve">Table </w:t>
      </w:r>
      <w:r>
        <w:rPr>
          <w:b/>
          <w:bCs/>
          <w:color w:val="0B5484" w:themeColor="accent1" w:themeShade="80"/>
          <w:sz w:val="24"/>
          <w:szCs w:val="24"/>
        </w:rPr>
        <w:t xml:space="preserve">13: </w:t>
      </w:r>
      <w:r w:rsidR="00B20E1F">
        <w:rPr>
          <w:b/>
          <w:color w:val="0B5484" w:themeColor="accent1" w:themeShade="80"/>
          <w:sz w:val="24"/>
          <w:szCs w:val="24"/>
        </w:rPr>
        <w:t>Germany</w:t>
      </w:r>
      <w:r w:rsidR="00B20E1F" w:rsidRPr="00C82A8C">
        <w:rPr>
          <w:b/>
          <w:color w:val="0B5484" w:themeColor="accent1" w:themeShade="80"/>
          <w:sz w:val="24"/>
          <w:szCs w:val="24"/>
        </w:rPr>
        <w:t xml:space="preserve"> and </w:t>
      </w:r>
      <w:r w:rsidR="00B20E1F">
        <w:rPr>
          <w:b/>
          <w:color w:val="0B5484" w:themeColor="accent1" w:themeShade="80"/>
          <w:sz w:val="24"/>
          <w:szCs w:val="24"/>
        </w:rPr>
        <w:t xml:space="preserve">The Netherlands: </w:t>
      </w:r>
      <w:r>
        <w:rPr>
          <w:b/>
          <w:bCs/>
          <w:color w:val="0B5484" w:themeColor="accent1" w:themeShade="80"/>
          <w:sz w:val="24"/>
          <w:szCs w:val="24"/>
        </w:rPr>
        <w:t xml:space="preserve">Witnesses </w:t>
      </w:r>
      <w:r w:rsidR="001F306B">
        <w:rPr>
          <w:b/>
          <w:bCs/>
          <w:color w:val="0B5484" w:themeColor="accent1" w:themeShade="80"/>
          <w:sz w:val="24"/>
          <w:szCs w:val="24"/>
        </w:rPr>
        <w:tab/>
      </w:r>
      <w:r w:rsidR="001F306B">
        <w:rPr>
          <w:b/>
          <w:bCs/>
          <w:color w:val="0B5484" w:themeColor="accent1" w:themeShade="80"/>
          <w:sz w:val="24"/>
          <w:szCs w:val="24"/>
        </w:rPr>
        <w:tab/>
      </w:r>
      <w:r w:rsidR="001F306B">
        <w:rPr>
          <w:b/>
          <w:bCs/>
          <w:color w:val="0B5484" w:themeColor="accent1" w:themeShade="80"/>
          <w:sz w:val="24"/>
          <w:szCs w:val="24"/>
        </w:rPr>
        <w:tab/>
      </w:r>
      <w:r w:rsidR="001F306B">
        <w:rPr>
          <w:b/>
          <w:bCs/>
          <w:color w:val="0B5484" w:themeColor="accent1" w:themeShade="80"/>
          <w:sz w:val="24"/>
          <w:szCs w:val="24"/>
        </w:rPr>
        <w:tab/>
      </w:r>
      <w:r w:rsidR="001F306B">
        <w:rPr>
          <w:b/>
          <w:bCs/>
          <w:color w:val="0B5484" w:themeColor="accent1" w:themeShade="80"/>
          <w:sz w:val="24"/>
          <w:szCs w:val="24"/>
        </w:rPr>
        <w:tab/>
      </w:r>
    </w:p>
    <w:p w:rsidR="00BC070F" w:rsidRDefault="00BC070F" w:rsidP="00BC070F">
      <w:pPr>
        <w:jc w:val="both"/>
        <w:rPr>
          <w:b/>
          <w:color w:val="0B5484" w:themeColor="accent1" w:themeShade="80"/>
          <w:sz w:val="24"/>
          <w:szCs w:val="24"/>
        </w:rPr>
      </w:pPr>
      <w:r>
        <w:rPr>
          <w:b/>
          <w:bCs/>
          <w:color w:val="0B5484" w:themeColor="accent1" w:themeShade="80"/>
          <w:sz w:val="24"/>
          <w:szCs w:val="24"/>
        </w:rPr>
        <w:t>and Evidence in</w:t>
      </w:r>
      <w:r w:rsidRPr="00C82A8C">
        <w:rPr>
          <w:b/>
          <w:bCs/>
          <w:color w:val="0B5484" w:themeColor="accent1" w:themeShade="80"/>
          <w:sz w:val="24"/>
          <w:szCs w:val="24"/>
        </w:rPr>
        <w:t xml:space="preserve"> </w:t>
      </w:r>
      <w:r>
        <w:rPr>
          <w:b/>
          <w:color w:val="0B5484" w:themeColor="accent1" w:themeShade="80"/>
          <w:sz w:val="24"/>
          <w:szCs w:val="24"/>
        </w:rPr>
        <w:t xml:space="preserve">Mini-Public </w:t>
      </w:r>
      <w:r w:rsidRPr="00C82A8C">
        <w:rPr>
          <w:b/>
          <w:color w:val="0B5484" w:themeColor="accent1" w:themeShade="80"/>
          <w:sz w:val="24"/>
          <w:szCs w:val="24"/>
        </w:rPr>
        <w:t>Cases</w:t>
      </w:r>
      <w:r w:rsidR="001F306B">
        <w:rPr>
          <w:b/>
          <w:color w:val="0B5484" w:themeColor="accent1" w:themeShade="80"/>
          <w:sz w:val="24"/>
          <w:szCs w:val="24"/>
        </w:rPr>
        <w:tab/>
      </w:r>
      <w:r w:rsidR="001F306B">
        <w:rPr>
          <w:b/>
          <w:color w:val="0B5484" w:themeColor="accent1" w:themeShade="80"/>
          <w:sz w:val="24"/>
          <w:szCs w:val="24"/>
        </w:rPr>
        <w:tab/>
      </w:r>
      <w:r w:rsidR="001F306B">
        <w:rPr>
          <w:b/>
          <w:color w:val="0B5484" w:themeColor="accent1" w:themeShade="80"/>
          <w:sz w:val="24"/>
          <w:szCs w:val="24"/>
        </w:rPr>
        <w:tab/>
      </w:r>
      <w:r w:rsidR="001F306B">
        <w:rPr>
          <w:b/>
          <w:color w:val="0B5484" w:themeColor="accent1" w:themeShade="80"/>
          <w:sz w:val="24"/>
          <w:szCs w:val="24"/>
        </w:rPr>
        <w:tab/>
      </w:r>
      <w:r w:rsidR="001F306B">
        <w:rPr>
          <w:b/>
          <w:color w:val="0B5484" w:themeColor="accent1" w:themeShade="80"/>
          <w:sz w:val="24"/>
          <w:szCs w:val="24"/>
        </w:rPr>
        <w:tab/>
      </w:r>
      <w:r w:rsidR="001F306B">
        <w:rPr>
          <w:b/>
          <w:color w:val="0B5484" w:themeColor="accent1" w:themeShade="80"/>
          <w:sz w:val="24"/>
          <w:szCs w:val="24"/>
        </w:rPr>
        <w:tab/>
      </w:r>
      <w:r w:rsidR="001F306B">
        <w:rPr>
          <w:b/>
          <w:color w:val="0B5484" w:themeColor="accent1" w:themeShade="80"/>
          <w:sz w:val="24"/>
          <w:szCs w:val="24"/>
        </w:rPr>
        <w:tab/>
      </w:r>
      <w:r w:rsidR="001F306B">
        <w:rPr>
          <w:b/>
          <w:color w:val="0B5484" w:themeColor="accent1" w:themeShade="80"/>
          <w:sz w:val="24"/>
          <w:szCs w:val="24"/>
        </w:rPr>
        <w:tab/>
        <w:t>34</w:t>
      </w:r>
    </w:p>
    <w:p w:rsidR="00BC070F" w:rsidRDefault="00BC070F" w:rsidP="00BC070F">
      <w:pPr>
        <w:jc w:val="both"/>
        <w:rPr>
          <w:b/>
          <w:color w:val="0B5484" w:themeColor="accent1" w:themeShade="80"/>
          <w:sz w:val="24"/>
          <w:szCs w:val="24"/>
        </w:rPr>
      </w:pPr>
      <w:r w:rsidRPr="00C82A8C">
        <w:rPr>
          <w:b/>
          <w:bCs/>
          <w:color w:val="0B5484" w:themeColor="accent1" w:themeShade="80"/>
          <w:sz w:val="24"/>
          <w:szCs w:val="24"/>
        </w:rPr>
        <w:t xml:space="preserve">Table </w:t>
      </w:r>
      <w:r>
        <w:rPr>
          <w:b/>
          <w:bCs/>
          <w:color w:val="0B5484" w:themeColor="accent1" w:themeShade="80"/>
          <w:sz w:val="24"/>
          <w:szCs w:val="24"/>
        </w:rPr>
        <w:t>14:</w:t>
      </w:r>
      <w:r w:rsidRPr="00C82A8C">
        <w:rPr>
          <w:b/>
          <w:bCs/>
          <w:color w:val="0B5484" w:themeColor="accent1" w:themeShade="80"/>
          <w:sz w:val="24"/>
          <w:szCs w:val="24"/>
        </w:rPr>
        <w:t xml:space="preserve"> </w:t>
      </w:r>
      <w:r w:rsidR="00B20E1F">
        <w:rPr>
          <w:b/>
          <w:color w:val="0B5484" w:themeColor="accent1" w:themeShade="80"/>
          <w:sz w:val="24"/>
          <w:szCs w:val="24"/>
        </w:rPr>
        <w:t>Germany</w:t>
      </w:r>
      <w:r w:rsidR="00B20E1F" w:rsidRPr="00C82A8C">
        <w:rPr>
          <w:b/>
          <w:color w:val="0B5484" w:themeColor="accent1" w:themeShade="80"/>
          <w:sz w:val="24"/>
          <w:szCs w:val="24"/>
        </w:rPr>
        <w:t xml:space="preserve"> and </w:t>
      </w:r>
      <w:r w:rsidR="00B20E1F">
        <w:rPr>
          <w:b/>
          <w:color w:val="0B5484" w:themeColor="accent1" w:themeShade="80"/>
          <w:sz w:val="24"/>
          <w:szCs w:val="24"/>
        </w:rPr>
        <w:t xml:space="preserve">The Netherlands: </w:t>
      </w:r>
      <w:r>
        <w:rPr>
          <w:b/>
          <w:bCs/>
          <w:color w:val="0B5484" w:themeColor="accent1" w:themeShade="80"/>
          <w:sz w:val="24"/>
          <w:szCs w:val="24"/>
        </w:rPr>
        <w:t>Impact in</w:t>
      </w:r>
      <w:r w:rsidRPr="00C82A8C">
        <w:rPr>
          <w:b/>
          <w:bCs/>
          <w:color w:val="0B5484" w:themeColor="accent1" w:themeShade="80"/>
          <w:sz w:val="24"/>
          <w:szCs w:val="24"/>
        </w:rPr>
        <w:t xml:space="preserve"> </w:t>
      </w:r>
      <w:r>
        <w:rPr>
          <w:b/>
          <w:color w:val="0B5484" w:themeColor="accent1" w:themeShade="80"/>
          <w:sz w:val="24"/>
          <w:szCs w:val="24"/>
        </w:rPr>
        <w:t xml:space="preserve">Mini-Public </w:t>
      </w:r>
      <w:r w:rsidRPr="00C82A8C">
        <w:rPr>
          <w:b/>
          <w:color w:val="0B5484" w:themeColor="accent1" w:themeShade="80"/>
          <w:sz w:val="24"/>
          <w:szCs w:val="24"/>
        </w:rPr>
        <w:t>Cases</w:t>
      </w:r>
      <w:r w:rsidR="001F306B">
        <w:rPr>
          <w:b/>
          <w:color w:val="0B5484" w:themeColor="accent1" w:themeShade="80"/>
          <w:sz w:val="24"/>
          <w:szCs w:val="24"/>
        </w:rPr>
        <w:tab/>
      </w:r>
      <w:r w:rsidR="001F306B">
        <w:rPr>
          <w:b/>
          <w:color w:val="0B5484" w:themeColor="accent1" w:themeShade="80"/>
          <w:sz w:val="24"/>
          <w:szCs w:val="24"/>
        </w:rPr>
        <w:tab/>
      </w:r>
      <w:r w:rsidR="001F306B">
        <w:rPr>
          <w:b/>
          <w:color w:val="0B5484" w:themeColor="accent1" w:themeShade="80"/>
          <w:sz w:val="24"/>
          <w:szCs w:val="24"/>
        </w:rPr>
        <w:tab/>
        <w:t>35</w:t>
      </w:r>
    </w:p>
    <w:p w:rsidR="00BC070F" w:rsidRDefault="00BC070F" w:rsidP="00BC070F">
      <w:pPr>
        <w:jc w:val="both"/>
        <w:rPr>
          <w:b/>
          <w:color w:val="0B5484" w:themeColor="accent1" w:themeShade="80"/>
          <w:sz w:val="24"/>
          <w:szCs w:val="24"/>
        </w:rPr>
      </w:pPr>
      <w:r>
        <w:rPr>
          <w:b/>
          <w:bCs/>
          <w:color w:val="0B5484" w:themeColor="accent1" w:themeShade="80"/>
          <w:sz w:val="24"/>
          <w:szCs w:val="24"/>
        </w:rPr>
        <w:t xml:space="preserve">Table 15: </w:t>
      </w:r>
      <w:r w:rsidR="00B20E1F">
        <w:rPr>
          <w:b/>
          <w:bCs/>
          <w:color w:val="0B5484" w:themeColor="accent1" w:themeShade="80"/>
          <w:sz w:val="24"/>
          <w:szCs w:val="24"/>
        </w:rPr>
        <w:t xml:space="preserve">The </w:t>
      </w:r>
      <w:r w:rsidR="00B20E1F">
        <w:rPr>
          <w:b/>
          <w:color w:val="0B5484" w:themeColor="accent1" w:themeShade="80"/>
          <w:sz w:val="24"/>
          <w:szCs w:val="24"/>
        </w:rPr>
        <w:t xml:space="preserve">United Kingdom: </w:t>
      </w:r>
      <w:r w:rsidRPr="00C82A8C">
        <w:rPr>
          <w:b/>
          <w:bCs/>
          <w:color w:val="0B5484" w:themeColor="accent1" w:themeShade="80"/>
          <w:sz w:val="24"/>
          <w:szCs w:val="24"/>
        </w:rPr>
        <w:t xml:space="preserve">Overview of </w:t>
      </w:r>
      <w:r>
        <w:rPr>
          <w:b/>
          <w:color w:val="0B5484" w:themeColor="accent1" w:themeShade="80"/>
          <w:sz w:val="24"/>
          <w:szCs w:val="24"/>
        </w:rPr>
        <w:t>Mini-Public</w:t>
      </w:r>
      <w:r w:rsidRPr="00C82A8C">
        <w:rPr>
          <w:b/>
          <w:color w:val="0B5484" w:themeColor="accent1" w:themeShade="80"/>
          <w:sz w:val="24"/>
          <w:szCs w:val="24"/>
        </w:rPr>
        <w:t xml:space="preserve"> Cases</w:t>
      </w:r>
      <w:r w:rsidR="001F306B">
        <w:rPr>
          <w:b/>
          <w:color w:val="0B5484" w:themeColor="accent1" w:themeShade="80"/>
          <w:sz w:val="24"/>
          <w:szCs w:val="24"/>
        </w:rPr>
        <w:tab/>
      </w:r>
      <w:r w:rsidR="001F306B">
        <w:rPr>
          <w:b/>
          <w:color w:val="0B5484" w:themeColor="accent1" w:themeShade="80"/>
          <w:sz w:val="24"/>
          <w:szCs w:val="24"/>
        </w:rPr>
        <w:tab/>
      </w:r>
      <w:r w:rsidR="001F306B">
        <w:rPr>
          <w:b/>
          <w:color w:val="0B5484" w:themeColor="accent1" w:themeShade="80"/>
          <w:sz w:val="24"/>
          <w:szCs w:val="24"/>
        </w:rPr>
        <w:tab/>
      </w:r>
      <w:r w:rsidR="001F306B">
        <w:rPr>
          <w:b/>
          <w:color w:val="0B5484" w:themeColor="accent1" w:themeShade="80"/>
          <w:sz w:val="24"/>
          <w:szCs w:val="24"/>
        </w:rPr>
        <w:tab/>
        <w:t>38</w:t>
      </w:r>
    </w:p>
    <w:p w:rsidR="00BC070F" w:rsidRDefault="00BC070F" w:rsidP="00BC070F">
      <w:pPr>
        <w:jc w:val="both"/>
        <w:rPr>
          <w:b/>
          <w:color w:val="0B5484" w:themeColor="accent1" w:themeShade="80"/>
          <w:sz w:val="24"/>
          <w:szCs w:val="24"/>
        </w:rPr>
      </w:pPr>
      <w:r w:rsidRPr="00C82A8C">
        <w:rPr>
          <w:b/>
          <w:bCs/>
          <w:color w:val="0B5484" w:themeColor="accent1" w:themeShade="80"/>
          <w:sz w:val="24"/>
          <w:szCs w:val="24"/>
        </w:rPr>
        <w:t xml:space="preserve">Table </w:t>
      </w:r>
      <w:r w:rsidR="006A27AC">
        <w:rPr>
          <w:b/>
          <w:bCs/>
          <w:color w:val="0B5484" w:themeColor="accent1" w:themeShade="80"/>
          <w:sz w:val="24"/>
          <w:szCs w:val="24"/>
        </w:rPr>
        <w:t>16</w:t>
      </w:r>
      <w:r>
        <w:rPr>
          <w:b/>
          <w:bCs/>
          <w:color w:val="0B5484" w:themeColor="accent1" w:themeShade="80"/>
          <w:sz w:val="24"/>
          <w:szCs w:val="24"/>
        </w:rPr>
        <w:t xml:space="preserve">: </w:t>
      </w:r>
      <w:r w:rsidR="00B20E1F">
        <w:rPr>
          <w:b/>
          <w:bCs/>
          <w:color w:val="0B5484" w:themeColor="accent1" w:themeShade="80"/>
          <w:sz w:val="24"/>
          <w:szCs w:val="24"/>
        </w:rPr>
        <w:t xml:space="preserve">The </w:t>
      </w:r>
      <w:r w:rsidR="00B20E1F">
        <w:rPr>
          <w:b/>
          <w:color w:val="0B5484" w:themeColor="accent1" w:themeShade="80"/>
          <w:sz w:val="24"/>
          <w:szCs w:val="24"/>
        </w:rPr>
        <w:t xml:space="preserve">United Kingdom: </w:t>
      </w:r>
      <w:r>
        <w:rPr>
          <w:b/>
          <w:bCs/>
          <w:color w:val="0B5484" w:themeColor="accent1" w:themeShade="80"/>
          <w:sz w:val="24"/>
          <w:szCs w:val="24"/>
        </w:rPr>
        <w:t>Witnesses and Evidence in</w:t>
      </w:r>
      <w:r w:rsidRPr="00C82A8C">
        <w:rPr>
          <w:b/>
          <w:bCs/>
          <w:color w:val="0B5484" w:themeColor="accent1" w:themeShade="80"/>
          <w:sz w:val="24"/>
          <w:szCs w:val="24"/>
        </w:rPr>
        <w:t xml:space="preserve"> </w:t>
      </w:r>
      <w:r>
        <w:rPr>
          <w:b/>
          <w:color w:val="0B5484" w:themeColor="accent1" w:themeShade="80"/>
          <w:sz w:val="24"/>
          <w:szCs w:val="24"/>
        </w:rPr>
        <w:t xml:space="preserve">Mini-Public </w:t>
      </w:r>
      <w:r w:rsidRPr="00C82A8C">
        <w:rPr>
          <w:b/>
          <w:color w:val="0B5484" w:themeColor="accent1" w:themeShade="80"/>
          <w:sz w:val="24"/>
          <w:szCs w:val="24"/>
        </w:rPr>
        <w:t>Cases</w:t>
      </w:r>
      <w:r w:rsidR="00964FCF">
        <w:rPr>
          <w:b/>
          <w:color w:val="0B5484" w:themeColor="accent1" w:themeShade="80"/>
          <w:sz w:val="24"/>
          <w:szCs w:val="24"/>
        </w:rPr>
        <w:tab/>
      </w:r>
      <w:r w:rsidR="00964FCF">
        <w:rPr>
          <w:b/>
          <w:color w:val="0B5484" w:themeColor="accent1" w:themeShade="80"/>
          <w:sz w:val="24"/>
          <w:szCs w:val="24"/>
        </w:rPr>
        <w:tab/>
      </w:r>
      <w:r w:rsidR="001F306B">
        <w:rPr>
          <w:b/>
          <w:color w:val="0B5484" w:themeColor="accent1" w:themeShade="80"/>
          <w:sz w:val="24"/>
          <w:szCs w:val="24"/>
        </w:rPr>
        <w:t>44</w:t>
      </w:r>
    </w:p>
    <w:p w:rsidR="00BC070F" w:rsidRDefault="00BC070F" w:rsidP="00BC070F">
      <w:pPr>
        <w:jc w:val="both"/>
        <w:rPr>
          <w:b/>
          <w:color w:val="0B5484" w:themeColor="accent1" w:themeShade="80"/>
          <w:sz w:val="24"/>
          <w:szCs w:val="24"/>
        </w:rPr>
      </w:pPr>
      <w:r w:rsidRPr="00C82A8C">
        <w:rPr>
          <w:b/>
          <w:bCs/>
          <w:color w:val="0B5484" w:themeColor="accent1" w:themeShade="80"/>
          <w:sz w:val="24"/>
          <w:szCs w:val="24"/>
        </w:rPr>
        <w:t xml:space="preserve">Table </w:t>
      </w:r>
      <w:r w:rsidR="006A27AC">
        <w:rPr>
          <w:b/>
          <w:bCs/>
          <w:color w:val="0B5484" w:themeColor="accent1" w:themeShade="80"/>
          <w:sz w:val="24"/>
          <w:szCs w:val="24"/>
        </w:rPr>
        <w:t>17</w:t>
      </w:r>
      <w:r>
        <w:rPr>
          <w:b/>
          <w:bCs/>
          <w:color w:val="0B5484" w:themeColor="accent1" w:themeShade="80"/>
          <w:sz w:val="24"/>
          <w:szCs w:val="24"/>
        </w:rPr>
        <w:t>:</w:t>
      </w:r>
      <w:r w:rsidRPr="00C82A8C">
        <w:rPr>
          <w:b/>
          <w:bCs/>
          <w:color w:val="0B5484" w:themeColor="accent1" w:themeShade="80"/>
          <w:sz w:val="24"/>
          <w:szCs w:val="24"/>
        </w:rPr>
        <w:t xml:space="preserve"> </w:t>
      </w:r>
      <w:r w:rsidR="00B20E1F">
        <w:rPr>
          <w:b/>
          <w:bCs/>
          <w:color w:val="0B5484" w:themeColor="accent1" w:themeShade="80"/>
          <w:sz w:val="24"/>
          <w:szCs w:val="24"/>
        </w:rPr>
        <w:t xml:space="preserve">The </w:t>
      </w:r>
      <w:r w:rsidR="00B20E1F">
        <w:rPr>
          <w:b/>
          <w:color w:val="0B5484" w:themeColor="accent1" w:themeShade="80"/>
          <w:sz w:val="24"/>
          <w:szCs w:val="24"/>
        </w:rPr>
        <w:t xml:space="preserve">United Kingdom: </w:t>
      </w:r>
      <w:r>
        <w:rPr>
          <w:b/>
          <w:bCs/>
          <w:color w:val="0B5484" w:themeColor="accent1" w:themeShade="80"/>
          <w:sz w:val="24"/>
          <w:szCs w:val="24"/>
        </w:rPr>
        <w:t>Impact in</w:t>
      </w:r>
      <w:r w:rsidRPr="00C82A8C">
        <w:rPr>
          <w:b/>
          <w:bCs/>
          <w:color w:val="0B5484" w:themeColor="accent1" w:themeShade="80"/>
          <w:sz w:val="24"/>
          <w:szCs w:val="24"/>
        </w:rPr>
        <w:t xml:space="preserve"> </w:t>
      </w:r>
      <w:r>
        <w:rPr>
          <w:b/>
          <w:color w:val="0B5484" w:themeColor="accent1" w:themeShade="80"/>
          <w:sz w:val="24"/>
          <w:szCs w:val="24"/>
        </w:rPr>
        <w:t xml:space="preserve">Mini-Public </w:t>
      </w:r>
      <w:r w:rsidRPr="00C82A8C">
        <w:rPr>
          <w:b/>
          <w:color w:val="0B5484" w:themeColor="accent1" w:themeShade="80"/>
          <w:sz w:val="24"/>
          <w:szCs w:val="24"/>
        </w:rPr>
        <w:t>Cases</w:t>
      </w:r>
      <w:r w:rsidR="001F306B">
        <w:rPr>
          <w:b/>
          <w:color w:val="0B5484" w:themeColor="accent1" w:themeShade="80"/>
          <w:sz w:val="24"/>
          <w:szCs w:val="24"/>
        </w:rPr>
        <w:tab/>
      </w:r>
      <w:r w:rsidR="001F306B">
        <w:rPr>
          <w:b/>
          <w:color w:val="0B5484" w:themeColor="accent1" w:themeShade="80"/>
          <w:sz w:val="24"/>
          <w:szCs w:val="24"/>
        </w:rPr>
        <w:tab/>
      </w:r>
      <w:r w:rsidR="001F306B">
        <w:rPr>
          <w:b/>
          <w:color w:val="0B5484" w:themeColor="accent1" w:themeShade="80"/>
          <w:sz w:val="24"/>
          <w:szCs w:val="24"/>
        </w:rPr>
        <w:tab/>
      </w:r>
      <w:r w:rsidR="001F306B">
        <w:rPr>
          <w:b/>
          <w:color w:val="0B5484" w:themeColor="accent1" w:themeShade="80"/>
          <w:sz w:val="24"/>
          <w:szCs w:val="24"/>
        </w:rPr>
        <w:tab/>
        <w:t>46</w:t>
      </w:r>
    </w:p>
    <w:p w:rsidR="00964FCF" w:rsidRPr="00507AAE" w:rsidRDefault="00964FCF" w:rsidP="00964FCF">
      <w:pPr>
        <w:jc w:val="both"/>
        <w:rPr>
          <w:b/>
          <w:color w:val="0B5484" w:themeColor="accent1" w:themeShade="80"/>
          <w:sz w:val="24"/>
          <w:szCs w:val="24"/>
        </w:rPr>
      </w:pPr>
      <w:r w:rsidRPr="00507AAE">
        <w:rPr>
          <w:b/>
          <w:color w:val="0B5484" w:themeColor="accent1" w:themeShade="80"/>
          <w:sz w:val="24"/>
          <w:szCs w:val="24"/>
        </w:rPr>
        <w:t>Table</w:t>
      </w:r>
      <w:r>
        <w:rPr>
          <w:b/>
          <w:color w:val="0B5484" w:themeColor="accent1" w:themeShade="80"/>
          <w:sz w:val="24"/>
          <w:szCs w:val="24"/>
        </w:rPr>
        <w:t xml:space="preserve"> 18</w:t>
      </w:r>
      <w:r w:rsidRPr="00507AAE">
        <w:rPr>
          <w:b/>
          <w:color w:val="0B5484" w:themeColor="accent1" w:themeShade="80"/>
          <w:sz w:val="24"/>
          <w:szCs w:val="24"/>
        </w:rPr>
        <w:t>: Cases Nominated for Further Research</w:t>
      </w:r>
      <w:r>
        <w:rPr>
          <w:b/>
          <w:color w:val="0B5484" w:themeColor="accent1" w:themeShade="80"/>
          <w:sz w:val="24"/>
          <w:szCs w:val="24"/>
        </w:rPr>
        <w:tab/>
      </w:r>
      <w:r>
        <w:rPr>
          <w:b/>
          <w:color w:val="0B5484" w:themeColor="accent1" w:themeShade="80"/>
          <w:sz w:val="24"/>
          <w:szCs w:val="24"/>
        </w:rPr>
        <w:tab/>
        <w:t xml:space="preserve"> </w:t>
      </w:r>
      <w:r>
        <w:rPr>
          <w:b/>
          <w:color w:val="0B5484" w:themeColor="accent1" w:themeShade="80"/>
          <w:sz w:val="24"/>
          <w:szCs w:val="24"/>
        </w:rPr>
        <w:tab/>
      </w:r>
      <w:r>
        <w:rPr>
          <w:b/>
          <w:color w:val="0B5484" w:themeColor="accent1" w:themeShade="80"/>
          <w:sz w:val="24"/>
          <w:szCs w:val="24"/>
        </w:rPr>
        <w:tab/>
      </w:r>
      <w:r>
        <w:rPr>
          <w:b/>
          <w:color w:val="0B5484" w:themeColor="accent1" w:themeShade="80"/>
          <w:sz w:val="24"/>
          <w:szCs w:val="24"/>
        </w:rPr>
        <w:tab/>
        <w:t xml:space="preserve">          </w:t>
      </w:r>
      <w:r w:rsidR="001F306B">
        <w:rPr>
          <w:b/>
          <w:color w:val="0B5484" w:themeColor="accent1" w:themeShade="80"/>
          <w:sz w:val="24"/>
          <w:szCs w:val="24"/>
        </w:rPr>
        <w:t xml:space="preserve"> </w:t>
      </w:r>
      <w:r>
        <w:rPr>
          <w:b/>
          <w:color w:val="0B5484" w:themeColor="accent1" w:themeShade="80"/>
          <w:sz w:val="24"/>
          <w:szCs w:val="24"/>
        </w:rPr>
        <w:t>50</w:t>
      </w:r>
    </w:p>
    <w:p w:rsidR="00964FCF" w:rsidRDefault="00964FCF" w:rsidP="00BC070F">
      <w:pPr>
        <w:jc w:val="both"/>
        <w:rPr>
          <w:b/>
          <w:color w:val="0B5484" w:themeColor="accent1" w:themeShade="80"/>
          <w:sz w:val="24"/>
          <w:szCs w:val="24"/>
        </w:rPr>
      </w:pPr>
    </w:p>
    <w:p w:rsidR="00BC070F" w:rsidRDefault="00BC070F" w:rsidP="00BC070F">
      <w:pPr>
        <w:jc w:val="both"/>
        <w:rPr>
          <w:b/>
          <w:color w:val="0B5484" w:themeColor="accent1" w:themeShade="80"/>
          <w:sz w:val="24"/>
          <w:szCs w:val="24"/>
        </w:rPr>
      </w:pPr>
      <w:bookmarkStart w:id="1" w:name="_GoBack"/>
      <w:bookmarkEnd w:id="1"/>
    </w:p>
    <w:p w:rsidR="00BC070F" w:rsidRDefault="00BC070F" w:rsidP="00BC070F">
      <w:pPr>
        <w:jc w:val="both"/>
        <w:rPr>
          <w:b/>
          <w:color w:val="0B5484" w:themeColor="accent1" w:themeShade="80"/>
          <w:sz w:val="24"/>
          <w:szCs w:val="24"/>
        </w:rPr>
      </w:pPr>
    </w:p>
    <w:p w:rsidR="00BC070F" w:rsidRPr="00C82A8C" w:rsidRDefault="00BC070F" w:rsidP="00BC070F">
      <w:pPr>
        <w:jc w:val="both"/>
        <w:rPr>
          <w:b/>
          <w:color w:val="0B5484" w:themeColor="accent1" w:themeShade="80"/>
          <w:sz w:val="24"/>
          <w:szCs w:val="24"/>
        </w:rPr>
      </w:pPr>
    </w:p>
    <w:p w:rsidR="00BC070F" w:rsidRPr="00C82A8C" w:rsidRDefault="00BC070F" w:rsidP="00494EAD">
      <w:pPr>
        <w:jc w:val="both"/>
        <w:rPr>
          <w:b/>
          <w:color w:val="0B5484" w:themeColor="accent1" w:themeShade="80"/>
          <w:sz w:val="24"/>
          <w:szCs w:val="24"/>
        </w:rPr>
      </w:pPr>
    </w:p>
    <w:p w:rsidR="00494EAD" w:rsidRPr="00C82A8C" w:rsidRDefault="00494EAD" w:rsidP="00494EAD">
      <w:pPr>
        <w:jc w:val="both"/>
        <w:rPr>
          <w:b/>
          <w:color w:val="0B5484" w:themeColor="accent1" w:themeShade="80"/>
          <w:sz w:val="24"/>
          <w:szCs w:val="24"/>
        </w:rPr>
      </w:pPr>
    </w:p>
    <w:p w:rsidR="00494EAD" w:rsidRPr="00C82A8C" w:rsidRDefault="00494EAD" w:rsidP="00494EAD">
      <w:pPr>
        <w:jc w:val="both"/>
        <w:rPr>
          <w:b/>
          <w:color w:val="0B5484" w:themeColor="accent1" w:themeShade="80"/>
          <w:sz w:val="24"/>
          <w:szCs w:val="24"/>
        </w:rPr>
      </w:pPr>
    </w:p>
    <w:p w:rsidR="00494EAD" w:rsidRPr="00C82A8C" w:rsidRDefault="00494EAD" w:rsidP="00ED581B">
      <w:pPr>
        <w:jc w:val="both"/>
        <w:rPr>
          <w:b/>
          <w:color w:val="0B5484" w:themeColor="accent1" w:themeShade="80"/>
          <w:sz w:val="24"/>
          <w:szCs w:val="24"/>
        </w:rPr>
      </w:pPr>
    </w:p>
    <w:p w:rsidR="00ED581B" w:rsidRPr="00C82A8C" w:rsidRDefault="00ED581B" w:rsidP="00ED581B">
      <w:pPr>
        <w:jc w:val="both"/>
        <w:rPr>
          <w:b/>
          <w:color w:val="0B5484" w:themeColor="accent1" w:themeShade="80"/>
          <w:sz w:val="24"/>
          <w:szCs w:val="24"/>
        </w:rPr>
      </w:pPr>
    </w:p>
    <w:p w:rsidR="00ED581B" w:rsidRPr="00175860" w:rsidRDefault="00ED581B" w:rsidP="00ED581B">
      <w:pPr>
        <w:jc w:val="both"/>
        <w:rPr>
          <w:b/>
          <w:bCs/>
          <w:color w:val="0B5484" w:themeColor="accent1" w:themeShade="80"/>
          <w:sz w:val="24"/>
          <w:szCs w:val="24"/>
        </w:rPr>
      </w:pPr>
    </w:p>
    <w:p w:rsidR="0085256C" w:rsidRDefault="0085256C" w:rsidP="0085256C">
      <w:pPr>
        <w:jc w:val="both"/>
        <w:rPr>
          <w:b/>
          <w:color w:val="0B5484" w:themeColor="accent1" w:themeShade="80"/>
          <w:sz w:val="36"/>
          <w:szCs w:val="36"/>
        </w:rPr>
      </w:pPr>
    </w:p>
    <w:p w:rsidR="00FB0578" w:rsidRDefault="00FB0578" w:rsidP="008075EF">
      <w:pPr>
        <w:jc w:val="both"/>
      </w:pPr>
    </w:p>
    <w:p w:rsidR="00FB0578" w:rsidRDefault="00FB0578" w:rsidP="008075EF">
      <w:pPr>
        <w:jc w:val="both"/>
      </w:pPr>
    </w:p>
    <w:p w:rsidR="00FB0578" w:rsidRPr="004D5295" w:rsidRDefault="00FB0578" w:rsidP="00FB0578">
      <w:pPr>
        <w:jc w:val="both"/>
        <w:rPr>
          <w:b/>
          <w:color w:val="0B5484" w:themeColor="accent1" w:themeShade="80"/>
          <w:sz w:val="36"/>
          <w:szCs w:val="36"/>
        </w:rPr>
      </w:pPr>
      <w:r>
        <w:rPr>
          <w:b/>
          <w:color w:val="0B5484" w:themeColor="accent1" w:themeShade="80"/>
          <w:sz w:val="36"/>
          <w:szCs w:val="36"/>
        </w:rPr>
        <w:t>Introduction</w:t>
      </w:r>
    </w:p>
    <w:p w:rsidR="00401C39" w:rsidRDefault="00401C39" w:rsidP="00401C39">
      <w:pPr>
        <w:jc w:val="both"/>
        <w:rPr>
          <w:sz w:val="24"/>
          <w:szCs w:val="24"/>
        </w:rPr>
      </w:pPr>
      <w:r w:rsidRPr="00401C39">
        <w:rPr>
          <w:sz w:val="24"/>
          <w:szCs w:val="24"/>
        </w:rPr>
        <w:t xml:space="preserve">An increasingly used mechanism to enhance citizen engagement </w:t>
      </w:r>
      <w:r>
        <w:rPr>
          <w:sz w:val="24"/>
          <w:szCs w:val="24"/>
        </w:rPr>
        <w:t>in policy-</w:t>
      </w:r>
      <w:r w:rsidRPr="00401C39">
        <w:rPr>
          <w:sz w:val="24"/>
          <w:szCs w:val="24"/>
        </w:rPr>
        <w:t>making is mini-publics (</w:t>
      </w:r>
      <w:proofErr w:type="spellStart"/>
      <w:r w:rsidRPr="00401C39">
        <w:rPr>
          <w:sz w:val="24"/>
          <w:szCs w:val="24"/>
        </w:rPr>
        <w:t>Grönlund</w:t>
      </w:r>
      <w:proofErr w:type="spellEnd"/>
      <w:r w:rsidRPr="00401C39">
        <w:rPr>
          <w:sz w:val="24"/>
          <w:szCs w:val="24"/>
        </w:rPr>
        <w:t xml:space="preserve"> et al. 2015).  Mini-publics assemble small groups of randomly selected citizens to engage with each other in facilitated discussion to make recommendations on a policy issue. Experts are included as witnesses and informers in the process, providing the evidence, information and answering </w:t>
      </w:r>
      <w:r w:rsidR="00E8751E" w:rsidRPr="00401C39">
        <w:rPr>
          <w:sz w:val="24"/>
          <w:szCs w:val="24"/>
        </w:rPr>
        <w:t>questions, which</w:t>
      </w:r>
      <w:r w:rsidRPr="00401C39">
        <w:rPr>
          <w:sz w:val="24"/>
          <w:szCs w:val="24"/>
        </w:rPr>
        <w:t xml:space="preserve"> the citizens</w:t>
      </w:r>
      <w:r w:rsidR="00CA28C0">
        <w:rPr>
          <w:sz w:val="24"/>
          <w:szCs w:val="24"/>
        </w:rPr>
        <w:t xml:space="preserve"> then synthesise through</w:t>
      </w:r>
      <w:r w:rsidRPr="00401C39">
        <w:rPr>
          <w:sz w:val="24"/>
          <w:szCs w:val="24"/>
        </w:rPr>
        <w:t xml:space="preserve"> deliberat</w:t>
      </w:r>
      <w:r w:rsidR="00CA28C0">
        <w:rPr>
          <w:sz w:val="24"/>
          <w:szCs w:val="24"/>
        </w:rPr>
        <w:t>ion</w:t>
      </w:r>
      <w:r w:rsidRPr="00401C39">
        <w:rPr>
          <w:sz w:val="24"/>
          <w:szCs w:val="24"/>
        </w:rPr>
        <w:t xml:space="preserve">. </w:t>
      </w:r>
      <w:r w:rsidR="00724157">
        <w:rPr>
          <w:sz w:val="24"/>
          <w:szCs w:val="24"/>
        </w:rPr>
        <w:t>In essence</w:t>
      </w:r>
      <w:r w:rsidR="00E34DCA">
        <w:rPr>
          <w:sz w:val="24"/>
          <w:szCs w:val="24"/>
        </w:rPr>
        <w:t xml:space="preserve">, ‘mini-publics need the help of experts in order to become adequately informed’ (Carson </w:t>
      </w:r>
      <w:r w:rsidR="00230970">
        <w:rPr>
          <w:sz w:val="24"/>
          <w:szCs w:val="24"/>
        </w:rPr>
        <w:t xml:space="preserve">and </w:t>
      </w:r>
      <w:proofErr w:type="spellStart"/>
      <w:r w:rsidR="00230970">
        <w:rPr>
          <w:sz w:val="24"/>
          <w:szCs w:val="24"/>
        </w:rPr>
        <w:t>Schecter</w:t>
      </w:r>
      <w:proofErr w:type="spellEnd"/>
      <w:r w:rsidR="00230970">
        <w:rPr>
          <w:sz w:val="24"/>
          <w:szCs w:val="24"/>
        </w:rPr>
        <w:t xml:space="preserve"> </w:t>
      </w:r>
      <w:r w:rsidR="00E34DCA">
        <w:rPr>
          <w:sz w:val="24"/>
          <w:szCs w:val="24"/>
        </w:rPr>
        <w:t xml:space="preserve">2017: 1). </w:t>
      </w:r>
      <w:r w:rsidRPr="00401C39">
        <w:rPr>
          <w:sz w:val="24"/>
          <w:szCs w:val="24"/>
        </w:rPr>
        <w:t>The aim of mini-publics is to show what the public would think of a policy issue if they had time and resources to learn and d</w:t>
      </w:r>
      <w:r w:rsidR="00B63FCB">
        <w:rPr>
          <w:sz w:val="24"/>
          <w:szCs w:val="24"/>
        </w:rPr>
        <w:t>eliberate about it (Elstub 2014</w:t>
      </w:r>
      <w:r w:rsidRPr="00401C39">
        <w:rPr>
          <w:sz w:val="24"/>
          <w:szCs w:val="24"/>
        </w:rPr>
        <w:t>). Consequently, some suggest that mini-publics should be public opinion proxies that guide policy makers</w:t>
      </w:r>
      <w:r w:rsidR="00CA28C0">
        <w:rPr>
          <w:sz w:val="24"/>
          <w:szCs w:val="24"/>
        </w:rPr>
        <w:t xml:space="preserve"> and practitioners as well as public opinion more broadly</w:t>
      </w:r>
      <w:r w:rsidRPr="00401C39">
        <w:rPr>
          <w:sz w:val="24"/>
          <w:szCs w:val="24"/>
        </w:rPr>
        <w:t xml:space="preserve"> (</w:t>
      </w:r>
      <w:proofErr w:type="spellStart"/>
      <w:r w:rsidRPr="00401C39">
        <w:rPr>
          <w:sz w:val="24"/>
          <w:szCs w:val="24"/>
        </w:rPr>
        <w:t>Fishkin</w:t>
      </w:r>
      <w:proofErr w:type="spellEnd"/>
      <w:r w:rsidRPr="00401C39">
        <w:rPr>
          <w:sz w:val="24"/>
          <w:szCs w:val="24"/>
        </w:rPr>
        <w:t xml:space="preserve"> and Luskin 2005; </w:t>
      </w:r>
      <w:proofErr w:type="spellStart"/>
      <w:r w:rsidRPr="00401C39">
        <w:rPr>
          <w:sz w:val="24"/>
          <w:szCs w:val="24"/>
        </w:rPr>
        <w:t>MacKenzie</w:t>
      </w:r>
      <w:proofErr w:type="spellEnd"/>
      <w:r w:rsidRPr="00401C39">
        <w:rPr>
          <w:sz w:val="24"/>
          <w:szCs w:val="24"/>
        </w:rPr>
        <w:t xml:space="preserve"> and Warren 2012).</w:t>
      </w:r>
      <w:r w:rsidR="009B735D" w:rsidRPr="009B735D">
        <w:rPr>
          <w:sz w:val="24"/>
          <w:szCs w:val="24"/>
        </w:rPr>
        <w:t xml:space="preserve"> </w:t>
      </w:r>
      <w:r w:rsidR="009B735D" w:rsidRPr="00401C39">
        <w:rPr>
          <w:sz w:val="24"/>
          <w:szCs w:val="24"/>
        </w:rPr>
        <w:t>This is important because the deliberations of a mini-public not only provide some evidence about public values and public acceptability; they also provide a counter-weight to the opinions of the interested parties who gather around the policy process (Weale forthcoming 2018). It is</w:t>
      </w:r>
      <w:r w:rsidR="00532FCD">
        <w:rPr>
          <w:sz w:val="24"/>
          <w:szCs w:val="24"/>
        </w:rPr>
        <w:t xml:space="preserve"> </w:t>
      </w:r>
      <w:r w:rsidR="009B735D" w:rsidRPr="00401C39">
        <w:rPr>
          <w:sz w:val="24"/>
          <w:szCs w:val="24"/>
        </w:rPr>
        <w:t xml:space="preserve">therefore suggested that mini-publics could act as intermediaries between actors with competing logics such as citizens, policy makers, experts, and the media (Pomatto 2016). Mini-publics therefore have potential to help ‘evidence intermediaries’, like the UK’s ‘What Works Centres’, synthesise and legitimise the use of evidence and increase the up-take of this evidence with wider audiences. </w:t>
      </w:r>
      <w:r w:rsidR="00CA28C0">
        <w:rPr>
          <w:sz w:val="24"/>
          <w:szCs w:val="24"/>
        </w:rPr>
        <w:t xml:space="preserve"> If mini-publics did achieve this level of impact then they could effectively promote the dissemination of evidence.</w:t>
      </w:r>
      <w:r w:rsidR="00A04127">
        <w:rPr>
          <w:sz w:val="24"/>
          <w:szCs w:val="24"/>
        </w:rPr>
        <w:t xml:space="preserve"> The ability of mini-publics to achieve these goals forms the focus of this report.</w:t>
      </w:r>
      <w:r w:rsidR="009B735D">
        <w:rPr>
          <w:sz w:val="24"/>
          <w:szCs w:val="24"/>
        </w:rPr>
        <w:t xml:space="preserve"> </w:t>
      </w:r>
    </w:p>
    <w:p w:rsidR="00A04127" w:rsidRPr="00401C39" w:rsidRDefault="00A04127" w:rsidP="00A04127">
      <w:pPr>
        <w:jc w:val="both"/>
        <w:rPr>
          <w:sz w:val="24"/>
          <w:szCs w:val="24"/>
        </w:rPr>
      </w:pPr>
      <w:r>
        <w:rPr>
          <w:sz w:val="24"/>
          <w:szCs w:val="24"/>
        </w:rPr>
        <w:t>If mini-publics are to contribute to evidence dissemination</w:t>
      </w:r>
      <w:r w:rsidRPr="00401C39">
        <w:rPr>
          <w:sz w:val="24"/>
          <w:szCs w:val="24"/>
        </w:rPr>
        <w:t xml:space="preserve"> </w:t>
      </w:r>
      <w:r>
        <w:rPr>
          <w:sz w:val="24"/>
          <w:szCs w:val="24"/>
        </w:rPr>
        <w:t>then</w:t>
      </w:r>
      <w:r w:rsidR="00724157">
        <w:rPr>
          <w:sz w:val="24"/>
          <w:szCs w:val="24"/>
        </w:rPr>
        <w:t>,</w:t>
      </w:r>
      <w:r w:rsidRPr="00401C39">
        <w:rPr>
          <w:sz w:val="24"/>
          <w:szCs w:val="24"/>
        </w:rPr>
        <w:t xml:space="preserve"> firstly</w:t>
      </w:r>
      <w:r w:rsidR="00724157">
        <w:rPr>
          <w:sz w:val="24"/>
          <w:szCs w:val="24"/>
        </w:rPr>
        <w:t>,</w:t>
      </w:r>
      <w:r w:rsidRPr="00401C39">
        <w:rPr>
          <w:sz w:val="24"/>
          <w:szCs w:val="24"/>
        </w:rPr>
        <w:t xml:space="preserve"> </w:t>
      </w:r>
      <w:r>
        <w:rPr>
          <w:sz w:val="24"/>
          <w:szCs w:val="24"/>
        </w:rPr>
        <w:t xml:space="preserve">they </w:t>
      </w:r>
      <w:r w:rsidRPr="00401C39">
        <w:rPr>
          <w:sz w:val="24"/>
          <w:szCs w:val="24"/>
        </w:rPr>
        <w:t>must enable the citizen sample to engage effectively with th</w:t>
      </w:r>
      <w:r>
        <w:rPr>
          <w:sz w:val="24"/>
          <w:szCs w:val="24"/>
        </w:rPr>
        <w:t>e</w:t>
      </w:r>
      <w:r w:rsidRPr="00401C39">
        <w:rPr>
          <w:sz w:val="24"/>
          <w:szCs w:val="24"/>
        </w:rPr>
        <w:t xml:space="preserve"> evidence</w:t>
      </w:r>
      <w:r>
        <w:rPr>
          <w:sz w:val="24"/>
          <w:szCs w:val="24"/>
        </w:rPr>
        <w:t xml:space="preserve"> provided</w:t>
      </w:r>
      <w:r w:rsidRPr="00401C39">
        <w:rPr>
          <w:sz w:val="24"/>
          <w:szCs w:val="24"/>
        </w:rPr>
        <w:t>.</w:t>
      </w:r>
      <w:r>
        <w:rPr>
          <w:sz w:val="24"/>
          <w:szCs w:val="24"/>
        </w:rPr>
        <w:t xml:space="preserve"> Rese</w:t>
      </w:r>
      <w:r w:rsidR="00724157">
        <w:rPr>
          <w:sz w:val="24"/>
          <w:szCs w:val="24"/>
        </w:rPr>
        <w:t>arch to date indicates that mini-public participants</w:t>
      </w:r>
      <w:r>
        <w:rPr>
          <w:sz w:val="24"/>
          <w:szCs w:val="24"/>
        </w:rPr>
        <w:t xml:space="preserve">’ opinions do change, </w:t>
      </w:r>
      <w:r w:rsidR="00724157">
        <w:rPr>
          <w:sz w:val="24"/>
          <w:szCs w:val="24"/>
        </w:rPr>
        <w:t xml:space="preserve">and that lay citizens </w:t>
      </w:r>
      <w:r w:rsidRPr="00A04127">
        <w:rPr>
          <w:sz w:val="24"/>
          <w:szCs w:val="24"/>
        </w:rPr>
        <w:t>have the capacity to deliberate complex issues and that their preferences become more public regarding, informed and considered by the end of the process</w:t>
      </w:r>
      <w:r w:rsidR="00724157">
        <w:rPr>
          <w:sz w:val="24"/>
          <w:szCs w:val="24"/>
        </w:rPr>
        <w:t xml:space="preserve"> (s</w:t>
      </w:r>
      <w:r w:rsidR="00FE37C0">
        <w:rPr>
          <w:sz w:val="24"/>
          <w:szCs w:val="24"/>
        </w:rPr>
        <w:t>ee Elstub 2014</w:t>
      </w:r>
      <w:r>
        <w:rPr>
          <w:sz w:val="24"/>
          <w:szCs w:val="24"/>
        </w:rPr>
        <w:t xml:space="preserve"> for an overview).</w:t>
      </w:r>
      <w:r w:rsidRPr="00401C39">
        <w:rPr>
          <w:sz w:val="24"/>
          <w:szCs w:val="24"/>
        </w:rPr>
        <w:t xml:space="preserve"> </w:t>
      </w:r>
      <w:r w:rsidR="00724157">
        <w:rPr>
          <w:sz w:val="24"/>
          <w:szCs w:val="24"/>
        </w:rPr>
        <w:t xml:space="preserve">On one hand, this </w:t>
      </w:r>
      <w:r>
        <w:rPr>
          <w:sz w:val="24"/>
          <w:szCs w:val="24"/>
        </w:rPr>
        <w:t>indicates</w:t>
      </w:r>
      <w:r w:rsidRPr="00401C39">
        <w:rPr>
          <w:sz w:val="24"/>
          <w:szCs w:val="24"/>
        </w:rPr>
        <w:t xml:space="preserve"> that </w:t>
      </w:r>
      <w:r w:rsidR="007468BA" w:rsidRPr="00401C39">
        <w:rPr>
          <w:sz w:val="24"/>
          <w:szCs w:val="24"/>
        </w:rPr>
        <w:t>the evidence</w:t>
      </w:r>
      <w:r w:rsidR="007468BA">
        <w:rPr>
          <w:sz w:val="24"/>
          <w:szCs w:val="24"/>
        </w:rPr>
        <w:t xml:space="preserve"> provided</w:t>
      </w:r>
      <w:r w:rsidR="007468BA" w:rsidRPr="00401C39">
        <w:rPr>
          <w:sz w:val="24"/>
          <w:szCs w:val="24"/>
        </w:rPr>
        <w:t xml:space="preserve"> influences their opinions</w:t>
      </w:r>
      <w:r w:rsidRPr="00401C39">
        <w:rPr>
          <w:sz w:val="24"/>
          <w:szCs w:val="24"/>
        </w:rPr>
        <w:t xml:space="preserve"> and that the citizens find the evidence useful (</w:t>
      </w:r>
      <w:proofErr w:type="spellStart"/>
      <w:r w:rsidRPr="00401C39">
        <w:rPr>
          <w:sz w:val="24"/>
          <w:szCs w:val="24"/>
        </w:rPr>
        <w:t>Böker</w:t>
      </w:r>
      <w:proofErr w:type="spellEnd"/>
      <w:r w:rsidRPr="00401C39">
        <w:rPr>
          <w:sz w:val="24"/>
          <w:szCs w:val="24"/>
        </w:rPr>
        <w:t xml:space="preserve"> and Elstub 2015). </w:t>
      </w:r>
      <w:r>
        <w:rPr>
          <w:sz w:val="24"/>
          <w:szCs w:val="24"/>
        </w:rPr>
        <w:t xml:space="preserve">Indeed, research suggests that it is the provision of evidence and information that has the greatest influence on the </w:t>
      </w:r>
      <w:r w:rsidR="007468BA">
        <w:rPr>
          <w:sz w:val="24"/>
          <w:szCs w:val="24"/>
        </w:rPr>
        <w:t>mini-public participants’</w:t>
      </w:r>
      <w:r>
        <w:rPr>
          <w:sz w:val="24"/>
          <w:szCs w:val="24"/>
        </w:rPr>
        <w:t xml:space="preserve"> opinions (</w:t>
      </w:r>
      <w:r w:rsidR="00D82D3C">
        <w:rPr>
          <w:sz w:val="24"/>
          <w:szCs w:val="24"/>
        </w:rPr>
        <w:t>Thompson et al.</w:t>
      </w:r>
      <w:r w:rsidR="007468BA">
        <w:rPr>
          <w:sz w:val="24"/>
          <w:szCs w:val="24"/>
        </w:rPr>
        <w:t xml:space="preserve"> 2015</w:t>
      </w:r>
      <w:r>
        <w:rPr>
          <w:sz w:val="24"/>
          <w:szCs w:val="24"/>
        </w:rPr>
        <w:t>).</w:t>
      </w:r>
      <w:r w:rsidR="0049767C">
        <w:rPr>
          <w:sz w:val="24"/>
          <w:szCs w:val="24"/>
        </w:rPr>
        <w:t xml:space="preserve"> </w:t>
      </w:r>
      <w:r w:rsidR="007468BA">
        <w:rPr>
          <w:sz w:val="24"/>
          <w:szCs w:val="24"/>
        </w:rPr>
        <w:t>On the other hand</w:t>
      </w:r>
      <w:r w:rsidR="0049767C">
        <w:rPr>
          <w:sz w:val="24"/>
          <w:szCs w:val="24"/>
        </w:rPr>
        <w:t>, there are psychological factors that might cause opinion change in mini-publics</w:t>
      </w:r>
      <w:r>
        <w:rPr>
          <w:sz w:val="24"/>
          <w:szCs w:val="24"/>
        </w:rPr>
        <w:t xml:space="preserve"> </w:t>
      </w:r>
      <w:r w:rsidR="007468BA">
        <w:rPr>
          <w:sz w:val="24"/>
          <w:szCs w:val="24"/>
        </w:rPr>
        <w:t>(Rosenberg 2014). F</w:t>
      </w:r>
      <w:r w:rsidR="0049767C">
        <w:rPr>
          <w:sz w:val="24"/>
          <w:szCs w:val="24"/>
        </w:rPr>
        <w:t>or example</w:t>
      </w:r>
      <w:r w:rsidR="007468BA">
        <w:rPr>
          <w:sz w:val="24"/>
          <w:szCs w:val="24"/>
        </w:rPr>
        <w:t>,</w:t>
      </w:r>
      <w:r w:rsidR="0049767C">
        <w:rPr>
          <w:sz w:val="24"/>
          <w:szCs w:val="24"/>
        </w:rPr>
        <w:t xml:space="preserve"> the charisma of the witness might be </w:t>
      </w:r>
      <w:r w:rsidR="000272E0">
        <w:rPr>
          <w:sz w:val="24"/>
          <w:szCs w:val="24"/>
        </w:rPr>
        <w:t xml:space="preserve">more influential than </w:t>
      </w:r>
      <w:r w:rsidR="00D82D3C">
        <w:rPr>
          <w:sz w:val="24"/>
          <w:szCs w:val="24"/>
        </w:rPr>
        <w:t>t</w:t>
      </w:r>
      <w:r w:rsidR="000272E0">
        <w:rPr>
          <w:sz w:val="24"/>
          <w:szCs w:val="24"/>
        </w:rPr>
        <w:t>heir evidence (</w:t>
      </w:r>
      <w:r w:rsidR="007468BA">
        <w:rPr>
          <w:sz w:val="24"/>
          <w:szCs w:val="24"/>
        </w:rPr>
        <w:t>Roberts and Lightbody</w:t>
      </w:r>
      <w:r w:rsidR="000272E0">
        <w:rPr>
          <w:sz w:val="24"/>
          <w:szCs w:val="24"/>
        </w:rPr>
        <w:t xml:space="preserve"> 2017: 8). </w:t>
      </w:r>
      <w:r w:rsidR="0049767C">
        <w:rPr>
          <w:sz w:val="24"/>
          <w:szCs w:val="24"/>
        </w:rPr>
        <w:t>Moreover</w:t>
      </w:r>
      <w:r w:rsidRPr="00401C39">
        <w:rPr>
          <w:sz w:val="24"/>
          <w:szCs w:val="24"/>
        </w:rPr>
        <w:t>, there are various mini-public formats with different organisational features</w:t>
      </w:r>
      <w:r w:rsidR="007468BA">
        <w:rPr>
          <w:sz w:val="24"/>
          <w:szCs w:val="24"/>
        </w:rPr>
        <w:t xml:space="preserve"> (Elstub 2014</w:t>
      </w:r>
      <w:r w:rsidR="009B735D">
        <w:rPr>
          <w:sz w:val="24"/>
          <w:szCs w:val="24"/>
        </w:rPr>
        <w:t>)</w:t>
      </w:r>
      <w:r w:rsidRPr="00401C39">
        <w:rPr>
          <w:sz w:val="24"/>
          <w:szCs w:val="24"/>
        </w:rPr>
        <w:t xml:space="preserve">. </w:t>
      </w:r>
      <w:r w:rsidR="009B735D">
        <w:rPr>
          <w:sz w:val="24"/>
          <w:szCs w:val="24"/>
        </w:rPr>
        <w:t>Moreover, there are different ways that experts can be recruited and evidence provided to the citizens (</w:t>
      </w:r>
      <w:r w:rsidR="007468BA">
        <w:rPr>
          <w:sz w:val="24"/>
          <w:szCs w:val="24"/>
        </w:rPr>
        <w:t>Roberts and Lightbody 2017</w:t>
      </w:r>
      <w:r w:rsidR="009B735D">
        <w:rPr>
          <w:sz w:val="24"/>
          <w:szCs w:val="24"/>
        </w:rPr>
        <w:t xml:space="preserve">). Consequently, this study focused on the extent these elements influence </w:t>
      </w:r>
      <w:r w:rsidRPr="00401C39">
        <w:rPr>
          <w:sz w:val="24"/>
          <w:szCs w:val="24"/>
        </w:rPr>
        <w:t>the uptake of evidence by citizen</w:t>
      </w:r>
      <w:r w:rsidR="009B735D">
        <w:rPr>
          <w:sz w:val="24"/>
          <w:szCs w:val="24"/>
        </w:rPr>
        <w:t>s participating in mini-publics.</w:t>
      </w:r>
    </w:p>
    <w:p w:rsidR="00401C39" w:rsidRPr="00401C39" w:rsidRDefault="00401C39" w:rsidP="00401C39">
      <w:pPr>
        <w:jc w:val="both"/>
        <w:rPr>
          <w:sz w:val="24"/>
          <w:szCs w:val="24"/>
        </w:rPr>
      </w:pPr>
      <w:r w:rsidRPr="00401C39">
        <w:rPr>
          <w:sz w:val="24"/>
          <w:szCs w:val="24"/>
        </w:rPr>
        <w:t>Secondly,</w:t>
      </w:r>
      <w:r w:rsidR="009B735D">
        <w:rPr>
          <w:sz w:val="24"/>
          <w:szCs w:val="24"/>
        </w:rPr>
        <w:t xml:space="preserve"> to facilitate evidence dissemination</w:t>
      </w:r>
      <w:r w:rsidRPr="00401C39">
        <w:rPr>
          <w:sz w:val="24"/>
          <w:szCs w:val="24"/>
        </w:rPr>
        <w:t xml:space="preserve"> mini-publics need to be linked on the one hand with the broader public and on the other hand with policy-makers and practitioners. However, the extent a mini-public is perceived to be legitimate by various stakeholders will influence the extent evidence ‘lands’ with the public, policy makers and practitioners. Again, the </w:t>
      </w:r>
      <w:r w:rsidR="009B735D">
        <w:rPr>
          <w:sz w:val="24"/>
          <w:szCs w:val="24"/>
        </w:rPr>
        <w:t xml:space="preserve">type of </w:t>
      </w:r>
      <w:r w:rsidRPr="00401C39">
        <w:rPr>
          <w:sz w:val="24"/>
          <w:szCs w:val="24"/>
        </w:rPr>
        <w:t>mini-public, the manner in which experts and evidence and employed, could influence this perception.</w:t>
      </w:r>
    </w:p>
    <w:p w:rsidR="00401C39" w:rsidRDefault="00401C39" w:rsidP="00472376">
      <w:pPr>
        <w:jc w:val="both"/>
        <w:rPr>
          <w:sz w:val="24"/>
          <w:szCs w:val="24"/>
          <w:lang w:val="it-IT"/>
        </w:rPr>
      </w:pPr>
      <w:r w:rsidRPr="00401C39">
        <w:rPr>
          <w:sz w:val="24"/>
          <w:szCs w:val="24"/>
        </w:rPr>
        <w:t>Social policy is arguably the most fertile ground for democratic innovation and always has been. (Dean forthcoming 2018).</w:t>
      </w:r>
      <w:r w:rsidR="00845E3C">
        <w:rPr>
          <w:sz w:val="24"/>
          <w:szCs w:val="24"/>
        </w:rPr>
        <w:t xml:space="preserve"> Social policy and practice raises numerous ethical issues that require </w:t>
      </w:r>
      <w:r w:rsidR="00845E3C">
        <w:rPr>
          <w:sz w:val="24"/>
          <w:szCs w:val="24"/>
        </w:rPr>
        <w:lastRenderedPageBreak/>
        <w:t>more than technical and scientific expertise</w:t>
      </w:r>
      <w:r w:rsidR="00CB511B">
        <w:rPr>
          <w:sz w:val="24"/>
          <w:szCs w:val="24"/>
        </w:rPr>
        <w:t>, require significant financial resources, and effect most of the population</w:t>
      </w:r>
      <w:r w:rsidR="00845E3C">
        <w:rPr>
          <w:sz w:val="24"/>
          <w:szCs w:val="24"/>
        </w:rPr>
        <w:t>.</w:t>
      </w:r>
      <w:r w:rsidRPr="00401C39">
        <w:rPr>
          <w:sz w:val="24"/>
          <w:szCs w:val="24"/>
        </w:rPr>
        <w:t xml:space="preserve"> It therefore presents an ideal policy </w:t>
      </w:r>
      <w:r w:rsidR="009B735D">
        <w:rPr>
          <w:sz w:val="24"/>
          <w:szCs w:val="24"/>
        </w:rPr>
        <w:t xml:space="preserve">and practice </w:t>
      </w:r>
      <w:r w:rsidRPr="00401C39">
        <w:rPr>
          <w:sz w:val="24"/>
          <w:szCs w:val="24"/>
        </w:rPr>
        <w:t>area to review the potential of mini-publics to synthesise and disseminate evidence.</w:t>
      </w:r>
      <w:r w:rsidR="00472376">
        <w:rPr>
          <w:sz w:val="24"/>
          <w:szCs w:val="24"/>
        </w:rPr>
        <w:t xml:space="preserve"> However, as </w:t>
      </w:r>
      <w:r w:rsidR="00472376" w:rsidRPr="00472376">
        <w:rPr>
          <w:sz w:val="24"/>
          <w:szCs w:val="24"/>
          <w:lang w:val="it-IT"/>
        </w:rPr>
        <w:t>Lowy (1972) has demonstrated</w:t>
      </w:r>
      <w:r w:rsidR="00472376">
        <w:rPr>
          <w:sz w:val="24"/>
          <w:szCs w:val="24"/>
          <w:lang w:val="it-IT"/>
        </w:rPr>
        <w:t>,</w:t>
      </w:r>
      <w:r w:rsidR="00472376" w:rsidRPr="00472376">
        <w:rPr>
          <w:sz w:val="24"/>
          <w:szCs w:val="24"/>
          <w:lang w:val="it-IT"/>
        </w:rPr>
        <w:t xml:space="preserve"> policy issue determines politics, </w:t>
      </w:r>
      <w:r w:rsidR="00472376">
        <w:rPr>
          <w:sz w:val="24"/>
          <w:szCs w:val="24"/>
          <w:lang w:val="it-IT"/>
        </w:rPr>
        <w:t>and social policy incorporates a broad range of issues, themes and areas. Consequently, the specific area of social policy could</w:t>
      </w:r>
      <w:r w:rsidR="00472376" w:rsidRPr="00472376">
        <w:rPr>
          <w:sz w:val="24"/>
          <w:szCs w:val="24"/>
          <w:lang w:val="it-IT"/>
        </w:rPr>
        <w:t xml:space="preserve"> influence the potential for mini-publics to have policy and practical impact and to legitimate and synthesise evidence</w:t>
      </w:r>
      <w:r w:rsidR="00472376">
        <w:rPr>
          <w:sz w:val="24"/>
          <w:szCs w:val="24"/>
          <w:lang w:val="it-IT"/>
        </w:rPr>
        <w:t>.</w:t>
      </w:r>
    </w:p>
    <w:p w:rsidR="00E26C75" w:rsidRDefault="00E26C75" w:rsidP="00472376">
      <w:pPr>
        <w:jc w:val="both"/>
        <w:rPr>
          <w:sz w:val="24"/>
          <w:szCs w:val="24"/>
          <w:lang w:val="it-IT"/>
        </w:rPr>
      </w:pPr>
      <w:r>
        <w:rPr>
          <w:sz w:val="24"/>
          <w:szCs w:val="24"/>
          <w:lang w:val="it-IT"/>
        </w:rPr>
        <w:t>Consequently, we have devised the following research questions:</w:t>
      </w:r>
    </w:p>
    <w:p w:rsidR="00E26C75" w:rsidRPr="00E26C75" w:rsidRDefault="00E26C75" w:rsidP="00E26C75">
      <w:pPr>
        <w:numPr>
          <w:ilvl w:val="0"/>
          <w:numId w:val="4"/>
        </w:numPr>
        <w:jc w:val="both"/>
        <w:rPr>
          <w:sz w:val="24"/>
          <w:szCs w:val="24"/>
        </w:rPr>
      </w:pPr>
      <w:r w:rsidRPr="00E26C75">
        <w:rPr>
          <w:sz w:val="24"/>
          <w:szCs w:val="24"/>
        </w:rPr>
        <w:t>Assess which types of mini-public have had the most frequent and extensive impact on social policy and practice and how these organisational features influence the citizens’ engagement with evidence.</w:t>
      </w:r>
    </w:p>
    <w:p w:rsidR="00E26C75" w:rsidRPr="00E26C75" w:rsidRDefault="00E26C75" w:rsidP="00E26C75">
      <w:pPr>
        <w:numPr>
          <w:ilvl w:val="0"/>
          <w:numId w:val="4"/>
        </w:numPr>
        <w:jc w:val="both"/>
        <w:rPr>
          <w:sz w:val="24"/>
          <w:szCs w:val="24"/>
        </w:rPr>
      </w:pPr>
      <w:r w:rsidRPr="00E26C75">
        <w:rPr>
          <w:sz w:val="24"/>
          <w:szCs w:val="24"/>
        </w:rPr>
        <w:t xml:space="preserve">Investigate how the type and recruitment of experts and the presentation of evidence influences citizens’ engagement with evidence in mini-publics and furthermore </w:t>
      </w:r>
      <w:r w:rsidRPr="00E26C75">
        <w:rPr>
          <w:sz w:val="24"/>
          <w:szCs w:val="24"/>
          <w:lang w:val="en-US"/>
        </w:rPr>
        <w:t>the perceived legitimacy of the mini-public by policy makers and practitioners</w:t>
      </w:r>
      <w:r w:rsidRPr="00E26C75">
        <w:rPr>
          <w:sz w:val="24"/>
          <w:szCs w:val="24"/>
        </w:rPr>
        <w:t>.</w:t>
      </w:r>
    </w:p>
    <w:p w:rsidR="00E26C75" w:rsidRPr="00E26C75" w:rsidRDefault="00E26C75" w:rsidP="00E26C75">
      <w:pPr>
        <w:numPr>
          <w:ilvl w:val="0"/>
          <w:numId w:val="4"/>
        </w:numPr>
        <w:jc w:val="both"/>
        <w:rPr>
          <w:sz w:val="24"/>
          <w:szCs w:val="24"/>
        </w:rPr>
      </w:pPr>
      <w:r w:rsidRPr="00E26C75">
        <w:rPr>
          <w:sz w:val="24"/>
          <w:szCs w:val="24"/>
        </w:rPr>
        <w:t>Analyse the extent that certain types of social policy and practice are more open to evidence synthesised by mini-publics than others.</w:t>
      </w:r>
    </w:p>
    <w:p w:rsidR="00401C39" w:rsidRDefault="007E77ED" w:rsidP="00401C39">
      <w:pPr>
        <w:jc w:val="both"/>
        <w:rPr>
          <w:sz w:val="24"/>
          <w:szCs w:val="24"/>
        </w:rPr>
      </w:pPr>
      <w:r>
        <w:rPr>
          <w:sz w:val="24"/>
          <w:szCs w:val="24"/>
        </w:rPr>
        <w:t>These questions will be addressed t</w:t>
      </w:r>
      <w:r w:rsidR="00401C39" w:rsidRPr="00401C39">
        <w:rPr>
          <w:sz w:val="24"/>
          <w:szCs w:val="24"/>
        </w:rPr>
        <w:t xml:space="preserve">hrough a review of the available literature, </w:t>
      </w:r>
      <w:r>
        <w:rPr>
          <w:sz w:val="24"/>
          <w:szCs w:val="24"/>
        </w:rPr>
        <w:t>in order to</w:t>
      </w:r>
      <w:r w:rsidR="00401C39" w:rsidRPr="00401C39">
        <w:rPr>
          <w:sz w:val="24"/>
          <w:szCs w:val="24"/>
        </w:rPr>
        <w:t xml:space="preserve"> further understanding of what conditions enable and inhibit citizens in mini-publics to digest and synthesise policy-based evidence and for mini-publics to legitimise this evidence and enable it to have impact in social policy and practice in a number of countries.</w:t>
      </w:r>
      <w:r w:rsidR="0049609F">
        <w:rPr>
          <w:sz w:val="24"/>
          <w:szCs w:val="24"/>
        </w:rPr>
        <w:t xml:space="preserve"> These are Australia, Denmark, Finland, France, Germany, New Zealand</w:t>
      </w:r>
      <w:r w:rsidR="00F41FE1">
        <w:rPr>
          <w:sz w:val="24"/>
          <w:szCs w:val="24"/>
        </w:rPr>
        <w:t>, the Netherlands</w:t>
      </w:r>
      <w:r w:rsidR="0049609F">
        <w:rPr>
          <w:sz w:val="24"/>
          <w:szCs w:val="24"/>
        </w:rPr>
        <w:t xml:space="preserve"> and the United Kingdom.</w:t>
      </w:r>
      <w:r w:rsidR="00CB511B">
        <w:rPr>
          <w:sz w:val="24"/>
          <w:szCs w:val="24"/>
        </w:rPr>
        <w:t xml:space="preserve"> Cases studies from each country, that merit further investigation, are also identified.</w:t>
      </w:r>
    </w:p>
    <w:p w:rsidR="00401C39" w:rsidRDefault="00401C39" w:rsidP="00401C39">
      <w:pPr>
        <w:jc w:val="both"/>
        <w:rPr>
          <w:sz w:val="24"/>
          <w:szCs w:val="24"/>
        </w:rPr>
      </w:pPr>
      <w:r w:rsidRPr="00401C39">
        <w:rPr>
          <w:sz w:val="24"/>
          <w:szCs w:val="24"/>
        </w:rPr>
        <w:t xml:space="preserve">The report is organised into five sections. In section </w:t>
      </w:r>
      <w:r w:rsidR="009B735D">
        <w:rPr>
          <w:sz w:val="24"/>
          <w:szCs w:val="24"/>
        </w:rPr>
        <w:t>1</w:t>
      </w:r>
      <w:r w:rsidR="00E8751E">
        <w:rPr>
          <w:sz w:val="24"/>
          <w:szCs w:val="24"/>
        </w:rPr>
        <w:t>,</w:t>
      </w:r>
      <w:r w:rsidR="009B735D">
        <w:rPr>
          <w:sz w:val="24"/>
          <w:szCs w:val="24"/>
        </w:rPr>
        <w:t xml:space="preserve"> </w:t>
      </w:r>
      <w:r w:rsidR="0023720D">
        <w:rPr>
          <w:sz w:val="24"/>
          <w:szCs w:val="24"/>
        </w:rPr>
        <w:t>an over</w:t>
      </w:r>
      <w:r w:rsidR="009B735D">
        <w:rPr>
          <w:sz w:val="24"/>
          <w:szCs w:val="24"/>
        </w:rPr>
        <w:t>view of the different types of mini-public is provided, along with</w:t>
      </w:r>
      <w:r w:rsidR="00E8751E">
        <w:rPr>
          <w:sz w:val="24"/>
          <w:szCs w:val="24"/>
        </w:rPr>
        <w:t xml:space="preserve"> the different approaches to expert recruitment and evidence provision. In section 2,</w:t>
      </w:r>
      <w:r w:rsidRPr="00401C39">
        <w:rPr>
          <w:sz w:val="24"/>
          <w:szCs w:val="24"/>
        </w:rPr>
        <w:t xml:space="preserve"> the methods and approach that underpinned the research </w:t>
      </w:r>
      <w:r w:rsidR="00E8751E">
        <w:rPr>
          <w:sz w:val="24"/>
          <w:szCs w:val="24"/>
        </w:rPr>
        <w:t>is outlined</w:t>
      </w:r>
      <w:r w:rsidRPr="00401C39">
        <w:rPr>
          <w:sz w:val="24"/>
          <w:szCs w:val="24"/>
        </w:rPr>
        <w:t xml:space="preserve">. We then give an overview of </w:t>
      </w:r>
      <w:r w:rsidR="00E8751E">
        <w:rPr>
          <w:sz w:val="24"/>
          <w:szCs w:val="24"/>
        </w:rPr>
        <w:t>the findings from each country in section 3</w:t>
      </w:r>
      <w:r w:rsidRPr="00401C39">
        <w:rPr>
          <w:sz w:val="24"/>
          <w:szCs w:val="24"/>
        </w:rPr>
        <w:t xml:space="preserve">. Section </w:t>
      </w:r>
      <w:r w:rsidR="00E8751E">
        <w:rPr>
          <w:sz w:val="24"/>
          <w:szCs w:val="24"/>
        </w:rPr>
        <w:t>4</w:t>
      </w:r>
      <w:r w:rsidRPr="00401C39">
        <w:rPr>
          <w:sz w:val="24"/>
          <w:szCs w:val="24"/>
        </w:rPr>
        <w:t xml:space="preserve"> provides a macro analysis of </w:t>
      </w:r>
      <w:r w:rsidR="00E8751E">
        <w:rPr>
          <w:sz w:val="24"/>
          <w:szCs w:val="24"/>
        </w:rPr>
        <w:t>the findings from these cases</w:t>
      </w:r>
      <w:r w:rsidRPr="00401C39">
        <w:rPr>
          <w:sz w:val="24"/>
          <w:szCs w:val="24"/>
        </w:rPr>
        <w:t xml:space="preserve">. </w:t>
      </w:r>
      <w:r w:rsidR="00E8751E">
        <w:rPr>
          <w:sz w:val="24"/>
          <w:szCs w:val="24"/>
        </w:rPr>
        <w:t>We conclude, in section 5,</w:t>
      </w:r>
      <w:r w:rsidRPr="00401C39">
        <w:rPr>
          <w:sz w:val="24"/>
          <w:szCs w:val="24"/>
        </w:rPr>
        <w:t xml:space="preserve"> with some recommendations for </w:t>
      </w:r>
      <w:r w:rsidR="00E8751E">
        <w:rPr>
          <w:sz w:val="24"/>
          <w:szCs w:val="24"/>
        </w:rPr>
        <w:t>further research in this area</w:t>
      </w:r>
      <w:r w:rsidR="00CB511B">
        <w:rPr>
          <w:sz w:val="24"/>
          <w:szCs w:val="24"/>
        </w:rPr>
        <w:t xml:space="preserve"> and for the organisation and coverage of mini-public</w:t>
      </w:r>
      <w:r w:rsidR="00F6330E">
        <w:rPr>
          <w:sz w:val="24"/>
          <w:szCs w:val="24"/>
        </w:rPr>
        <w:t>s</w:t>
      </w:r>
      <w:r w:rsidRPr="00401C39">
        <w:rPr>
          <w:sz w:val="24"/>
          <w:szCs w:val="24"/>
        </w:rPr>
        <w:t>.</w:t>
      </w:r>
    </w:p>
    <w:p w:rsidR="0049609F" w:rsidRDefault="0049609F" w:rsidP="00401C39">
      <w:pPr>
        <w:jc w:val="both"/>
        <w:rPr>
          <w:sz w:val="24"/>
          <w:szCs w:val="24"/>
        </w:rPr>
      </w:pPr>
    </w:p>
    <w:p w:rsidR="0049609F" w:rsidRDefault="0049609F" w:rsidP="00401C39">
      <w:pPr>
        <w:jc w:val="both"/>
        <w:rPr>
          <w:sz w:val="24"/>
          <w:szCs w:val="24"/>
        </w:rPr>
      </w:pPr>
    </w:p>
    <w:p w:rsidR="0049609F" w:rsidRDefault="0049609F" w:rsidP="00401C39">
      <w:pPr>
        <w:jc w:val="both"/>
        <w:rPr>
          <w:sz w:val="24"/>
          <w:szCs w:val="24"/>
        </w:rPr>
      </w:pPr>
    </w:p>
    <w:p w:rsidR="0049609F" w:rsidRDefault="0049609F" w:rsidP="00401C39">
      <w:pPr>
        <w:jc w:val="both"/>
        <w:rPr>
          <w:sz w:val="24"/>
          <w:szCs w:val="24"/>
        </w:rPr>
      </w:pPr>
    </w:p>
    <w:p w:rsidR="0049609F" w:rsidRDefault="0049609F" w:rsidP="00401C39">
      <w:pPr>
        <w:jc w:val="both"/>
        <w:rPr>
          <w:sz w:val="24"/>
          <w:szCs w:val="24"/>
        </w:rPr>
      </w:pPr>
    </w:p>
    <w:p w:rsidR="0049609F" w:rsidRDefault="0049609F" w:rsidP="00401C39">
      <w:pPr>
        <w:jc w:val="both"/>
        <w:rPr>
          <w:sz w:val="24"/>
          <w:szCs w:val="24"/>
        </w:rPr>
      </w:pPr>
    </w:p>
    <w:p w:rsidR="0049609F" w:rsidRDefault="0049609F" w:rsidP="00401C39">
      <w:pPr>
        <w:jc w:val="both"/>
        <w:rPr>
          <w:sz w:val="24"/>
          <w:szCs w:val="24"/>
        </w:rPr>
      </w:pPr>
    </w:p>
    <w:p w:rsidR="0049609F" w:rsidRDefault="0049609F" w:rsidP="00401C39">
      <w:pPr>
        <w:jc w:val="both"/>
        <w:rPr>
          <w:sz w:val="24"/>
          <w:szCs w:val="24"/>
        </w:rPr>
      </w:pPr>
    </w:p>
    <w:p w:rsidR="0049609F" w:rsidRDefault="0049609F" w:rsidP="00401C39">
      <w:pPr>
        <w:jc w:val="both"/>
        <w:rPr>
          <w:sz w:val="24"/>
          <w:szCs w:val="24"/>
        </w:rPr>
      </w:pPr>
    </w:p>
    <w:p w:rsidR="0049609F" w:rsidRDefault="0049609F" w:rsidP="00401C39">
      <w:pPr>
        <w:jc w:val="both"/>
        <w:rPr>
          <w:sz w:val="24"/>
          <w:szCs w:val="24"/>
        </w:rPr>
      </w:pPr>
    </w:p>
    <w:p w:rsidR="0049609F" w:rsidRDefault="0049609F" w:rsidP="00401C39">
      <w:pPr>
        <w:jc w:val="both"/>
        <w:rPr>
          <w:sz w:val="24"/>
          <w:szCs w:val="24"/>
        </w:rPr>
      </w:pPr>
    </w:p>
    <w:p w:rsidR="0049609F" w:rsidRDefault="0049609F" w:rsidP="00401C39">
      <w:pPr>
        <w:jc w:val="both"/>
        <w:rPr>
          <w:sz w:val="24"/>
          <w:szCs w:val="24"/>
        </w:rPr>
      </w:pPr>
    </w:p>
    <w:p w:rsidR="0049609F" w:rsidRPr="004D5295" w:rsidRDefault="005A7A23" w:rsidP="0049609F">
      <w:pPr>
        <w:jc w:val="both"/>
        <w:rPr>
          <w:b/>
          <w:color w:val="0B5484" w:themeColor="accent1" w:themeShade="80"/>
          <w:sz w:val="36"/>
          <w:szCs w:val="36"/>
        </w:rPr>
      </w:pPr>
      <w:r>
        <w:rPr>
          <w:b/>
          <w:color w:val="0B5484" w:themeColor="accent1" w:themeShade="80"/>
          <w:sz w:val="36"/>
          <w:szCs w:val="36"/>
        </w:rPr>
        <w:t>Mini-Publics:</w:t>
      </w:r>
      <w:r w:rsidR="0049609F">
        <w:rPr>
          <w:b/>
          <w:color w:val="0B5484" w:themeColor="accent1" w:themeShade="80"/>
          <w:sz w:val="36"/>
          <w:szCs w:val="36"/>
        </w:rPr>
        <w:t xml:space="preserve"> Experts and Evidence</w:t>
      </w:r>
    </w:p>
    <w:p w:rsidR="00E26C75" w:rsidRDefault="00A81E63" w:rsidP="0049609F">
      <w:pPr>
        <w:jc w:val="both"/>
        <w:rPr>
          <w:sz w:val="24"/>
          <w:szCs w:val="24"/>
        </w:rPr>
      </w:pPr>
      <w:r>
        <w:rPr>
          <w:sz w:val="24"/>
          <w:szCs w:val="24"/>
        </w:rPr>
        <w:t xml:space="preserve">In this section we an overview of mini-publics is provided. The different types are detailed, the general process described, and the various ways </w:t>
      </w:r>
      <w:r w:rsidR="00E26C75">
        <w:rPr>
          <w:sz w:val="24"/>
          <w:szCs w:val="24"/>
        </w:rPr>
        <w:t>experts and evidence are involved in the process</w:t>
      </w:r>
      <w:r w:rsidR="00630B31">
        <w:rPr>
          <w:sz w:val="24"/>
          <w:szCs w:val="24"/>
        </w:rPr>
        <w:t xml:space="preserve"> are discussed</w:t>
      </w:r>
      <w:r w:rsidR="00E26C75">
        <w:rPr>
          <w:sz w:val="24"/>
          <w:szCs w:val="24"/>
        </w:rPr>
        <w:t>. In doing so we draw heavily on the work of Escobar and Elstub (2017).</w:t>
      </w:r>
    </w:p>
    <w:p w:rsidR="0049609F" w:rsidRPr="0049609F" w:rsidRDefault="0049609F" w:rsidP="0049609F">
      <w:pPr>
        <w:jc w:val="both"/>
        <w:rPr>
          <w:b/>
          <w:sz w:val="24"/>
          <w:szCs w:val="24"/>
        </w:rPr>
      </w:pPr>
      <w:r w:rsidRPr="0049609F">
        <w:rPr>
          <w:sz w:val="24"/>
          <w:szCs w:val="24"/>
        </w:rPr>
        <w:t>Mini-publics are made up of randomly selected citizens, for instance, chosen by lot from the electoral roll or a similar source that may function as a proxy for the relevant population. The principle here is that everyone affected by the topic in question has an equal chance of being</w:t>
      </w:r>
      <w:r w:rsidR="000272E0">
        <w:rPr>
          <w:sz w:val="24"/>
          <w:szCs w:val="24"/>
        </w:rPr>
        <w:t xml:space="preserve"> </w:t>
      </w:r>
      <w:r w:rsidRPr="0049609F">
        <w:rPr>
          <w:sz w:val="24"/>
          <w:szCs w:val="24"/>
        </w:rPr>
        <w:t>selected, and this underpins the legitimacy of the process. Participants are typically selected through stratified random sampling, so that a range of demographic characteristics from the broader populat</w:t>
      </w:r>
      <w:r w:rsidR="00E311B1">
        <w:rPr>
          <w:sz w:val="24"/>
          <w:szCs w:val="24"/>
        </w:rPr>
        <w:t xml:space="preserve">ion are adequately represented </w:t>
      </w:r>
      <w:r w:rsidRPr="0049609F">
        <w:rPr>
          <w:sz w:val="24"/>
          <w:szCs w:val="24"/>
        </w:rPr>
        <w:t xml:space="preserve">e.g. age, gender, ethnicity, disability, income, geography, education, religion, and so on. The purpose is to use social science methods to assemble a microcosm of ‘the public’. Smaller mini-publics are not intended to be statistically representative of the population, but are still demographically diverse. Participants are </w:t>
      </w:r>
      <w:r w:rsidR="00630B31">
        <w:rPr>
          <w:sz w:val="24"/>
          <w:szCs w:val="24"/>
        </w:rPr>
        <w:t xml:space="preserve">often </w:t>
      </w:r>
      <w:r w:rsidRPr="0049609F">
        <w:rPr>
          <w:sz w:val="24"/>
          <w:szCs w:val="24"/>
        </w:rPr>
        <w:t>remunerated, the discussions are facilitated, and experts provide evidence and advocacy of relevant information and positions and are then cross-examined by the lay citizens. They are usually issue specific, and dissolved as soon as the issue has been deliberated on. Despite these common features, there are a variety of types of mini-public</w:t>
      </w:r>
      <w:r w:rsidRPr="0049609F">
        <w:rPr>
          <w:b/>
          <w:i/>
          <w:sz w:val="24"/>
          <w:szCs w:val="24"/>
        </w:rPr>
        <w:t xml:space="preserve">, </w:t>
      </w:r>
      <w:r w:rsidRPr="0049609F">
        <w:rPr>
          <w:sz w:val="24"/>
          <w:szCs w:val="24"/>
        </w:rPr>
        <w:t xml:space="preserve">covered briefly in turn below. </w:t>
      </w:r>
    </w:p>
    <w:p w:rsidR="00630B31" w:rsidRDefault="00630B31" w:rsidP="00630B31">
      <w:pPr>
        <w:jc w:val="both"/>
        <w:rPr>
          <w:b/>
          <w:color w:val="0B5484" w:themeColor="accent1" w:themeShade="80"/>
          <w:sz w:val="28"/>
          <w:szCs w:val="28"/>
        </w:rPr>
      </w:pPr>
    </w:p>
    <w:p w:rsidR="00630B31" w:rsidRPr="00630B31" w:rsidRDefault="00630B31" w:rsidP="00630B31">
      <w:pPr>
        <w:jc w:val="both"/>
        <w:rPr>
          <w:b/>
          <w:color w:val="0B5484" w:themeColor="accent1" w:themeShade="80"/>
          <w:sz w:val="28"/>
          <w:szCs w:val="28"/>
        </w:rPr>
      </w:pPr>
      <w:r w:rsidRPr="00630B31">
        <w:rPr>
          <w:b/>
          <w:color w:val="0B5484" w:themeColor="accent1" w:themeShade="80"/>
          <w:sz w:val="28"/>
          <w:szCs w:val="28"/>
        </w:rPr>
        <w:t>Types of Mini-Public</w:t>
      </w:r>
    </w:p>
    <w:p w:rsidR="0049609F" w:rsidRPr="00630B31" w:rsidRDefault="0049609F" w:rsidP="0049609F">
      <w:pPr>
        <w:jc w:val="both"/>
        <w:rPr>
          <w:b/>
          <w:i/>
          <w:color w:val="0B5484" w:themeColor="accent1" w:themeShade="80"/>
          <w:sz w:val="24"/>
          <w:szCs w:val="24"/>
        </w:rPr>
      </w:pPr>
      <w:r w:rsidRPr="00630B31">
        <w:rPr>
          <w:b/>
          <w:i/>
          <w:color w:val="0B5484" w:themeColor="accent1" w:themeShade="80"/>
          <w:sz w:val="24"/>
          <w:szCs w:val="24"/>
        </w:rPr>
        <w:t>Citizens’ Juries</w:t>
      </w:r>
    </w:p>
    <w:p w:rsidR="0049609F" w:rsidRPr="0049609F" w:rsidRDefault="0049609F" w:rsidP="0049609F">
      <w:pPr>
        <w:jc w:val="both"/>
        <w:rPr>
          <w:sz w:val="24"/>
          <w:szCs w:val="24"/>
        </w:rPr>
      </w:pPr>
      <w:r w:rsidRPr="0049609F">
        <w:rPr>
          <w:sz w:val="24"/>
          <w:szCs w:val="24"/>
        </w:rPr>
        <w:t xml:space="preserve">Citizens juries (CJs) were first established in 1971 in the USA by Ned Crosby of the Jefferson Centre, but have been employed in many other countries since then including the UK, Netherlands, Ireland, France and Australia. They can cost between £10,000 and £30,000 depending on various factors (e.g. duration, geography). Approximately, 12-25 participants are assembled for 2 to 5 days to discuss an issue and produce a collective recommendation or ‘verdict’. CJs can be designed to provide jurors with some control over the process including choice of witness experts and the nature of interaction with them. </w:t>
      </w:r>
    </w:p>
    <w:p w:rsidR="0029027F" w:rsidRDefault="0029027F" w:rsidP="0049609F">
      <w:pPr>
        <w:jc w:val="both"/>
        <w:rPr>
          <w:b/>
          <w:i/>
          <w:color w:val="0B5484" w:themeColor="accent1" w:themeShade="80"/>
          <w:sz w:val="24"/>
          <w:szCs w:val="24"/>
        </w:rPr>
      </w:pPr>
    </w:p>
    <w:p w:rsidR="0049609F" w:rsidRPr="00630B31" w:rsidRDefault="0049609F" w:rsidP="0049609F">
      <w:pPr>
        <w:jc w:val="both"/>
        <w:rPr>
          <w:b/>
          <w:i/>
          <w:color w:val="0B5484" w:themeColor="accent1" w:themeShade="80"/>
          <w:sz w:val="24"/>
          <w:szCs w:val="24"/>
        </w:rPr>
      </w:pPr>
      <w:r w:rsidRPr="00630B31">
        <w:rPr>
          <w:b/>
          <w:i/>
          <w:color w:val="0B5484" w:themeColor="accent1" w:themeShade="80"/>
          <w:sz w:val="24"/>
          <w:szCs w:val="24"/>
        </w:rPr>
        <w:t>Consensus Conferences</w:t>
      </w:r>
    </w:p>
    <w:p w:rsidR="0049609F" w:rsidRPr="0049609F" w:rsidRDefault="0049609F" w:rsidP="0049609F">
      <w:pPr>
        <w:jc w:val="both"/>
        <w:rPr>
          <w:b/>
          <w:sz w:val="24"/>
          <w:szCs w:val="24"/>
        </w:rPr>
      </w:pPr>
      <w:r w:rsidRPr="0049609F">
        <w:rPr>
          <w:sz w:val="24"/>
          <w:szCs w:val="24"/>
        </w:rPr>
        <w:t xml:space="preserve">The Danish Board of technology devised Consensus Conferences (CCs) in </w:t>
      </w:r>
      <w:r w:rsidR="00630B31">
        <w:rPr>
          <w:sz w:val="24"/>
          <w:szCs w:val="24"/>
        </w:rPr>
        <w:t>the late 1980s in order to advis</w:t>
      </w:r>
      <w:r w:rsidRPr="0049609F">
        <w:rPr>
          <w:sz w:val="24"/>
          <w:szCs w:val="24"/>
        </w:rPr>
        <w:t xml:space="preserve">e parliamentarians on science and technology issues. Although they originated in Denmark, and the vast majority have been held there, they have been employed in a number of countries. They cost between £30,000 and £100,000 and involve 10-25 citizens selected by stratified random sampling. Danish consensus conferences, are divided into two stages. Firstly, citizens meet for a series of preparatory weekends to learn about the topic, the process, and the group, and to select the experts and interest groups from a list </w:t>
      </w:r>
      <w:r w:rsidR="00630B31">
        <w:rPr>
          <w:sz w:val="24"/>
          <w:szCs w:val="24"/>
        </w:rPr>
        <w:t>who</w:t>
      </w:r>
      <w:r w:rsidRPr="0049609F">
        <w:rPr>
          <w:sz w:val="24"/>
          <w:szCs w:val="24"/>
        </w:rPr>
        <w:t xml:space="preserve"> advise and present to the citizens in the second stage of the conference. </w:t>
      </w:r>
      <w:r w:rsidR="00630B31">
        <w:rPr>
          <w:sz w:val="24"/>
          <w:szCs w:val="24"/>
        </w:rPr>
        <w:t>At the end</w:t>
      </w:r>
      <w:r w:rsidRPr="0049609F">
        <w:rPr>
          <w:sz w:val="24"/>
          <w:szCs w:val="24"/>
        </w:rPr>
        <w:t xml:space="preserve"> a collective report </w:t>
      </w:r>
      <w:r w:rsidR="00630B31">
        <w:rPr>
          <w:sz w:val="24"/>
          <w:szCs w:val="24"/>
        </w:rPr>
        <w:t xml:space="preserve">is compiled </w:t>
      </w:r>
      <w:r w:rsidRPr="0049609F">
        <w:rPr>
          <w:sz w:val="24"/>
          <w:szCs w:val="24"/>
        </w:rPr>
        <w:t xml:space="preserve">which outlines their collective decision. Both consensus conferences and CJs (at least in the USA) use an external advisory committee that selects the citizens, compiles the list of experts from which the citizens choose, develops information packs and selects facilitators. This committee tends to be made up of academics, practitioners, issue experts, and interest group representatives. </w:t>
      </w:r>
    </w:p>
    <w:p w:rsidR="0049609F" w:rsidRDefault="0049609F" w:rsidP="0049609F">
      <w:pPr>
        <w:jc w:val="both"/>
        <w:rPr>
          <w:b/>
          <w:i/>
          <w:sz w:val="24"/>
          <w:szCs w:val="24"/>
        </w:rPr>
      </w:pPr>
    </w:p>
    <w:p w:rsidR="0049609F" w:rsidRPr="00175860" w:rsidRDefault="0049609F" w:rsidP="0049609F">
      <w:pPr>
        <w:jc w:val="both"/>
        <w:rPr>
          <w:b/>
          <w:color w:val="0B5484" w:themeColor="accent1" w:themeShade="80"/>
          <w:sz w:val="24"/>
          <w:szCs w:val="24"/>
        </w:rPr>
      </w:pPr>
      <w:r w:rsidRPr="00175860">
        <w:rPr>
          <w:b/>
          <w:i/>
          <w:color w:val="0B5484" w:themeColor="accent1" w:themeShade="80"/>
          <w:sz w:val="24"/>
          <w:szCs w:val="24"/>
        </w:rPr>
        <w:t>Planning Cells</w:t>
      </w:r>
    </w:p>
    <w:p w:rsidR="0049609F" w:rsidRPr="0049609F" w:rsidRDefault="0049609F" w:rsidP="0049609F">
      <w:pPr>
        <w:jc w:val="both"/>
        <w:rPr>
          <w:sz w:val="24"/>
          <w:szCs w:val="24"/>
        </w:rPr>
      </w:pPr>
      <w:r w:rsidRPr="0049609F">
        <w:rPr>
          <w:sz w:val="24"/>
          <w:szCs w:val="24"/>
        </w:rPr>
        <w:t xml:space="preserve">Planning cells (PCs) originated in Germany and were created by Peter </w:t>
      </w:r>
      <w:proofErr w:type="spellStart"/>
      <w:r w:rsidRPr="0049609F">
        <w:rPr>
          <w:sz w:val="24"/>
          <w:szCs w:val="24"/>
        </w:rPr>
        <w:t>Dienel</w:t>
      </w:r>
      <w:proofErr w:type="spellEnd"/>
      <w:r w:rsidRPr="0049609F">
        <w:rPr>
          <w:sz w:val="24"/>
          <w:szCs w:val="24"/>
        </w:rPr>
        <w:t>, of the Research Institute for Citizens’ Participation at the University of Wuppertal in Germany in the 1970s. PCs have predominantly been held on urban planning in Germany but also in Austria, Switzerland, Spain and the USA. They cost between US £90,000 and £120,000. A series of Planning cells, usually 6-10, with about 25 citizens participating in each run concurrently on the same issue for about four days, usually resulting in 100-500 citizens participating in total. They are also facilitated differently to CJs and CCs, with the facilitators more likely to be issue rather than process specialists. The planning cell convenors then aggregate all the preferences across all the cells into a report, which is then approved by a selection of the citizens from the various cells, before being published and distributed to relevant decision-makers and stakeholders.</w:t>
      </w:r>
    </w:p>
    <w:p w:rsidR="0029027F" w:rsidRDefault="0029027F" w:rsidP="0049609F">
      <w:pPr>
        <w:jc w:val="both"/>
        <w:rPr>
          <w:b/>
          <w:i/>
          <w:color w:val="0B5484" w:themeColor="accent1" w:themeShade="80"/>
          <w:sz w:val="24"/>
          <w:szCs w:val="24"/>
        </w:rPr>
      </w:pPr>
    </w:p>
    <w:p w:rsidR="0049609F" w:rsidRPr="00175860" w:rsidRDefault="0049609F" w:rsidP="0049609F">
      <w:pPr>
        <w:jc w:val="both"/>
        <w:rPr>
          <w:b/>
          <w:i/>
          <w:color w:val="0B5484" w:themeColor="accent1" w:themeShade="80"/>
          <w:sz w:val="24"/>
          <w:szCs w:val="24"/>
        </w:rPr>
      </w:pPr>
      <w:r w:rsidRPr="00175860">
        <w:rPr>
          <w:b/>
          <w:i/>
          <w:color w:val="0B5484" w:themeColor="accent1" w:themeShade="80"/>
          <w:sz w:val="24"/>
          <w:szCs w:val="24"/>
        </w:rPr>
        <w:t>Deliberative Polls</w:t>
      </w:r>
    </w:p>
    <w:p w:rsidR="0049609F" w:rsidRPr="0049609F" w:rsidRDefault="0049609F" w:rsidP="0049609F">
      <w:pPr>
        <w:jc w:val="both"/>
        <w:rPr>
          <w:sz w:val="24"/>
          <w:szCs w:val="24"/>
        </w:rPr>
      </w:pPr>
      <w:r w:rsidRPr="0049609F">
        <w:rPr>
          <w:sz w:val="24"/>
          <w:szCs w:val="24"/>
        </w:rPr>
        <w:t>The deliberative</w:t>
      </w:r>
      <w:r w:rsidRPr="0049609F">
        <w:rPr>
          <w:b/>
          <w:sz w:val="24"/>
          <w:szCs w:val="24"/>
        </w:rPr>
        <w:t xml:space="preserve"> </w:t>
      </w:r>
      <w:r w:rsidRPr="0049609F">
        <w:rPr>
          <w:sz w:val="24"/>
          <w:szCs w:val="24"/>
        </w:rPr>
        <w:t xml:space="preserve">poll was first set up by James </w:t>
      </w:r>
      <w:proofErr w:type="spellStart"/>
      <w:r w:rsidRPr="0049609F">
        <w:rPr>
          <w:sz w:val="24"/>
          <w:szCs w:val="24"/>
        </w:rPr>
        <w:t>Fishkin</w:t>
      </w:r>
      <w:proofErr w:type="spellEnd"/>
      <w:r w:rsidRPr="0049609F">
        <w:rPr>
          <w:sz w:val="24"/>
          <w:szCs w:val="24"/>
        </w:rPr>
        <w:t xml:space="preserve"> and the </w:t>
      </w:r>
      <w:proofErr w:type="spellStart"/>
      <w:r w:rsidRPr="0049609F">
        <w:rPr>
          <w:sz w:val="24"/>
          <w:szCs w:val="24"/>
        </w:rPr>
        <w:t>Center</w:t>
      </w:r>
      <w:proofErr w:type="spellEnd"/>
      <w:r w:rsidRPr="0049609F">
        <w:rPr>
          <w:sz w:val="24"/>
          <w:szCs w:val="24"/>
        </w:rPr>
        <w:t xml:space="preserve"> for Deliberative Polling in 1988. A deliberative Poll (DP) with </w:t>
      </w:r>
      <w:r w:rsidR="00630B31">
        <w:rPr>
          <w:sz w:val="24"/>
          <w:szCs w:val="24"/>
        </w:rPr>
        <w:t>a</w:t>
      </w:r>
      <w:r w:rsidRPr="0049609F">
        <w:rPr>
          <w:sz w:val="24"/>
          <w:szCs w:val="24"/>
        </w:rPr>
        <w:t xml:space="preserve"> 130-500 sample is designed to show what the public </w:t>
      </w:r>
      <w:r w:rsidRPr="0049609F">
        <w:rPr>
          <w:i/>
          <w:sz w:val="24"/>
          <w:szCs w:val="24"/>
        </w:rPr>
        <w:t xml:space="preserve">would </w:t>
      </w:r>
      <w:r w:rsidRPr="0049609F">
        <w:rPr>
          <w:sz w:val="24"/>
          <w:szCs w:val="24"/>
        </w:rPr>
        <w:t>think about the issues if it had time to learn about them and consider a range of perspectives. The first ever DP in the world was held in the UK in 1994, since then they have been run in many countries including Canada, USA, Denmark, Hungary, Bulgaria, Greece, Brazil, Australia and China, as well as in transnational contexts (i.e. European Union). They cost approximately £200,000. The process involves taking a probability sample of voters, surveying their opinions on an issue, sending them balanced information about the topic in question, gathering them together to discuss the issues with each other in small groups and with a balanced range of experts in plenary sessions, and then surveying their opinions again. Ideally</w:t>
      </w:r>
      <w:r w:rsidR="00630B31">
        <w:rPr>
          <w:sz w:val="24"/>
          <w:szCs w:val="24"/>
        </w:rPr>
        <w:t>,</w:t>
      </w:r>
      <w:r w:rsidRPr="0049609F">
        <w:rPr>
          <w:sz w:val="24"/>
          <w:szCs w:val="24"/>
        </w:rPr>
        <w:t xml:space="preserve"> they are televised, or at least receive broad media coverage to contribute to informing the broader public. The participants’ preferences are aggregated, as they are not required to come to a collective decision themselves, through deliberation, as in CJs and CCs. </w:t>
      </w:r>
    </w:p>
    <w:p w:rsidR="0029027F" w:rsidRDefault="0029027F" w:rsidP="0049609F">
      <w:pPr>
        <w:jc w:val="both"/>
        <w:rPr>
          <w:b/>
          <w:i/>
          <w:color w:val="0B5484" w:themeColor="accent1" w:themeShade="80"/>
          <w:sz w:val="24"/>
          <w:szCs w:val="24"/>
        </w:rPr>
      </w:pPr>
    </w:p>
    <w:p w:rsidR="0049609F" w:rsidRPr="00630B31" w:rsidRDefault="0049609F" w:rsidP="0049609F">
      <w:pPr>
        <w:jc w:val="both"/>
        <w:rPr>
          <w:b/>
          <w:i/>
          <w:color w:val="0B5484" w:themeColor="accent1" w:themeShade="80"/>
          <w:sz w:val="24"/>
          <w:szCs w:val="24"/>
        </w:rPr>
      </w:pPr>
      <w:r w:rsidRPr="00630B31">
        <w:rPr>
          <w:b/>
          <w:i/>
          <w:color w:val="0B5484" w:themeColor="accent1" w:themeShade="80"/>
          <w:sz w:val="24"/>
          <w:szCs w:val="24"/>
        </w:rPr>
        <w:t>Citizens’ Assemblies</w:t>
      </w:r>
    </w:p>
    <w:p w:rsidR="0049609F" w:rsidRPr="0049609F" w:rsidRDefault="0049609F" w:rsidP="0049609F">
      <w:pPr>
        <w:jc w:val="both"/>
        <w:rPr>
          <w:sz w:val="24"/>
          <w:szCs w:val="24"/>
        </w:rPr>
      </w:pPr>
      <w:r w:rsidRPr="0049609F">
        <w:rPr>
          <w:sz w:val="24"/>
          <w:szCs w:val="24"/>
        </w:rPr>
        <w:t xml:space="preserve">Citizens’ Assemblies (CAs) are the newest (since 2004) and potentially the most radical and democratically robust of all the mini-public types developed to date. They are difficult to assess as there have only been a handful of cases, notably in British Columbia, Ontario (both in Canada), the Netherlands and Ireland. The cases so far have typically assembled 100-160 participants. In all the assemblies the citizens were selected randomly from the electoral register, a further random selection is then made from those who express an interest in participating, meaning they are not strictly a random sample. Nevertheless, it is still considered that all these assemblies were representative of the broader population in terms of age, gender and geographical location. The process progresses in three phases: the learning phase which takes several weekends and enables participants to get to grips with the complexities of the issues under consideration, the consultation phases where the randomly chosen citizens run public hearings in their local constituencies to gather information and opinions from other members of the public, and the deliberative phase when the citizens discuss the evidence and agree their final proposal. Following the deliberation, a vote amongst the participants is usually conducted to decide a final outcome of the assemblies. </w:t>
      </w:r>
    </w:p>
    <w:p w:rsidR="0049609F" w:rsidRPr="00175860" w:rsidRDefault="0049609F" w:rsidP="0049609F">
      <w:pPr>
        <w:jc w:val="both"/>
        <w:rPr>
          <w:b/>
          <w:bCs/>
          <w:color w:val="0B5484" w:themeColor="accent1" w:themeShade="80"/>
          <w:sz w:val="24"/>
          <w:szCs w:val="24"/>
        </w:rPr>
      </w:pPr>
      <w:r w:rsidRPr="00175860">
        <w:rPr>
          <w:b/>
          <w:bCs/>
          <w:color w:val="0B5484" w:themeColor="accent1" w:themeShade="80"/>
          <w:sz w:val="24"/>
          <w:szCs w:val="24"/>
        </w:rPr>
        <w:lastRenderedPageBreak/>
        <w:t xml:space="preserve">Table </w:t>
      </w:r>
      <w:r w:rsidRPr="00175860">
        <w:rPr>
          <w:b/>
          <w:bCs/>
          <w:color w:val="0B5484" w:themeColor="accent1" w:themeShade="80"/>
          <w:sz w:val="24"/>
          <w:szCs w:val="24"/>
        </w:rPr>
        <w:fldChar w:fldCharType="begin"/>
      </w:r>
      <w:r w:rsidRPr="00175860">
        <w:rPr>
          <w:b/>
          <w:bCs/>
          <w:color w:val="0B5484" w:themeColor="accent1" w:themeShade="80"/>
          <w:sz w:val="24"/>
          <w:szCs w:val="24"/>
        </w:rPr>
        <w:instrText xml:space="preserve"> SEQ Table \* ARABIC </w:instrText>
      </w:r>
      <w:r w:rsidRPr="00175860">
        <w:rPr>
          <w:b/>
          <w:bCs/>
          <w:color w:val="0B5484" w:themeColor="accent1" w:themeShade="80"/>
          <w:sz w:val="24"/>
          <w:szCs w:val="24"/>
        </w:rPr>
        <w:fldChar w:fldCharType="separate"/>
      </w:r>
      <w:r w:rsidR="0045315F">
        <w:rPr>
          <w:b/>
          <w:bCs/>
          <w:noProof/>
          <w:color w:val="0B5484" w:themeColor="accent1" w:themeShade="80"/>
          <w:sz w:val="24"/>
          <w:szCs w:val="24"/>
        </w:rPr>
        <w:t>2</w:t>
      </w:r>
      <w:r w:rsidRPr="00175860">
        <w:rPr>
          <w:color w:val="0B5484" w:themeColor="accent1" w:themeShade="80"/>
          <w:sz w:val="24"/>
          <w:szCs w:val="24"/>
        </w:rPr>
        <w:fldChar w:fldCharType="end"/>
      </w:r>
      <w:r w:rsidR="00F6330E">
        <w:rPr>
          <w:b/>
          <w:bCs/>
          <w:color w:val="0B5484" w:themeColor="accent1" w:themeShade="80"/>
          <w:sz w:val="24"/>
          <w:szCs w:val="24"/>
        </w:rPr>
        <w:t>: Key Features of Mini-P</w:t>
      </w:r>
      <w:r w:rsidRPr="00175860">
        <w:rPr>
          <w:b/>
          <w:bCs/>
          <w:color w:val="0B5484" w:themeColor="accent1" w:themeShade="80"/>
          <w:sz w:val="24"/>
          <w:szCs w:val="24"/>
        </w:rPr>
        <w:t>ublics</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5"/>
        <w:gridCol w:w="1382"/>
        <w:gridCol w:w="1382"/>
        <w:gridCol w:w="1382"/>
        <w:gridCol w:w="1382"/>
        <w:gridCol w:w="2294"/>
      </w:tblGrid>
      <w:tr w:rsidR="0049609F" w:rsidRPr="0049609F" w:rsidTr="00A657A6">
        <w:trPr>
          <w:trHeight w:val="732"/>
        </w:trPr>
        <w:tc>
          <w:tcPr>
            <w:tcW w:w="1245" w:type="dxa"/>
            <w:vAlign w:val="center"/>
          </w:tcPr>
          <w:p w:rsidR="0049609F" w:rsidRPr="0049609F" w:rsidRDefault="0049609F" w:rsidP="0049609F">
            <w:pPr>
              <w:jc w:val="both"/>
              <w:rPr>
                <w:b/>
                <w:sz w:val="24"/>
                <w:szCs w:val="24"/>
              </w:rPr>
            </w:pPr>
          </w:p>
        </w:tc>
        <w:tc>
          <w:tcPr>
            <w:tcW w:w="1382" w:type="dxa"/>
            <w:vAlign w:val="center"/>
          </w:tcPr>
          <w:p w:rsidR="0049609F" w:rsidRPr="00175860" w:rsidRDefault="0049609F" w:rsidP="0049609F">
            <w:pPr>
              <w:jc w:val="both"/>
              <w:rPr>
                <w:b/>
                <w:i/>
                <w:color w:val="0B5484" w:themeColor="accent1" w:themeShade="80"/>
                <w:sz w:val="24"/>
                <w:szCs w:val="24"/>
              </w:rPr>
            </w:pPr>
            <w:r w:rsidRPr="00175860">
              <w:rPr>
                <w:b/>
                <w:i/>
                <w:color w:val="0B5484" w:themeColor="accent1" w:themeShade="80"/>
                <w:sz w:val="24"/>
                <w:szCs w:val="24"/>
              </w:rPr>
              <w:t>Citizen juries</w:t>
            </w:r>
          </w:p>
        </w:tc>
        <w:tc>
          <w:tcPr>
            <w:tcW w:w="1382" w:type="dxa"/>
            <w:vAlign w:val="center"/>
          </w:tcPr>
          <w:p w:rsidR="0049609F" w:rsidRPr="00175860" w:rsidRDefault="00175860" w:rsidP="0049609F">
            <w:pPr>
              <w:jc w:val="both"/>
              <w:rPr>
                <w:b/>
                <w:i/>
                <w:color w:val="0B5484" w:themeColor="accent1" w:themeShade="80"/>
                <w:sz w:val="24"/>
                <w:szCs w:val="24"/>
              </w:rPr>
            </w:pPr>
            <w:r>
              <w:rPr>
                <w:b/>
                <w:i/>
                <w:color w:val="0B5484" w:themeColor="accent1" w:themeShade="80"/>
                <w:sz w:val="24"/>
                <w:szCs w:val="24"/>
              </w:rPr>
              <w:t>Planning c</w:t>
            </w:r>
            <w:r w:rsidR="0049609F" w:rsidRPr="00175860">
              <w:rPr>
                <w:b/>
                <w:i/>
                <w:color w:val="0B5484" w:themeColor="accent1" w:themeShade="80"/>
                <w:sz w:val="24"/>
                <w:szCs w:val="24"/>
              </w:rPr>
              <w:t>ells</w:t>
            </w:r>
          </w:p>
        </w:tc>
        <w:tc>
          <w:tcPr>
            <w:tcW w:w="1382" w:type="dxa"/>
            <w:vAlign w:val="center"/>
          </w:tcPr>
          <w:p w:rsidR="0049609F" w:rsidRPr="00175860" w:rsidRDefault="0049609F" w:rsidP="0049609F">
            <w:pPr>
              <w:jc w:val="both"/>
              <w:rPr>
                <w:b/>
                <w:i/>
                <w:color w:val="0B5484" w:themeColor="accent1" w:themeShade="80"/>
                <w:sz w:val="24"/>
                <w:szCs w:val="24"/>
              </w:rPr>
            </w:pPr>
            <w:r w:rsidRPr="00175860">
              <w:rPr>
                <w:b/>
                <w:i/>
                <w:color w:val="0B5484" w:themeColor="accent1" w:themeShade="80"/>
                <w:sz w:val="24"/>
                <w:szCs w:val="24"/>
              </w:rPr>
              <w:t>Consensus conferences</w:t>
            </w:r>
          </w:p>
        </w:tc>
        <w:tc>
          <w:tcPr>
            <w:tcW w:w="1382" w:type="dxa"/>
            <w:vAlign w:val="center"/>
          </w:tcPr>
          <w:p w:rsidR="0049609F" w:rsidRPr="00175860" w:rsidRDefault="0049609F" w:rsidP="0049609F">
            <w:pPr>
              <w:jc w:val="both"/>
              <w:rPr>
                <w:b/>
                <w:i/>
                <w:color w:val="0B5484" w:themeColor="accent1" w:themeShade="80"/>
                <w:sz w:val="24"/>
                <w:szCs w:val="24"/>
              </w:rPr>
            </w:pPr>
            <w:r w:rsidRPr="00175860">
              <w:rPr>
                <w:b/>
                <w:i/>
                <w:color w:val="0B5484" w:themeColor="accent1" w:themeShade="80"/>
                <w:sz w:val="24"/>
                <w:szCs w:val="24"/>
              </w:rPr>
              <w:t>Deliberative polls</w:t>
            </w:r>
          </w:p>
        </w:tc>
        <w:tc>
          <w:tcPr>
            <w:tcW w:w="2294" w:type="dxa"/>
            <w:vAlign w:val="center"/>
          </w:tcPr>
          <w:p w:rsidR="0049609F" w:rsidRPr="00175860" w:rsidRDefault="0049609F" w:rsidP="0049609F">
            <w:pPr>
              <w:jc w:val="both"/>
              <w:rPr>
                <w:b/>
                <w:i/>
                <w:color w:val="0B5484" w:themeColor="accent1" w:themeShade="80"/>
                <w:sz w:val="24"/>
                <w:szCs w:val="24"/>
              </w:rPr>
            </w:pPr>
            <w:r w:rsidRPr="00175860">
              <w:rPr>
                <w:b/>
                <w:i/>
                <w:color w:val="0B5484" w:themeColor="accent1" w:themeShade="80"/>
                <w:sz w:val="24"/>
                <w:szCs w:val="24"/>
              </w:rPr>
              <w:t>Citizen assemblies</w:t>
            </w:r>
          </w:p>
        </w:tc>
      </w:tr>
      <w:tr w:rsidR="0049609F" w:rsidRPr="0049609F" w:rsidTr="0085256C">
        <w:trPr>
          <w:trHeight w:val="732"/>
        </w:trPr>
        <w:tc>
          <w:tcPr>
            <w:tcW w:w="1245" w:type="dxa"/>
            <w:shd w:val="clear" w:color="auto" w:fill="ABD9F8" w:themeFill="accent1" w:themeFillTint="66"/>
            <w:vAlign w:val="center"/>
          </w:tcPr>
          <w:p w:rsidR="0049609F" w:rsidRPr="0049609F" w:rsidRDefault="0049609F" w:rsidP="0049609F">
            <w:pPr>
              <w:jc w:val="both"/>
              <w:rPr>
                <w:b/>
                <w:i/>
                <w:sz w:val="24"/>
                <w:szCs w:val="24"/>
              </w:rPr>
            </w:pPr>
            <w:r w:rsidRPr="00175860">
              <w:rPr>
                <w:b/>
                <w:i/>
                <w:color w:val="0B5484" w:themeColor="accent1" w:themeShade="80"/>
                <w:sz w:val="24"/>
                <w:szCs w:val="24"/>
              </w:rPr>
              <w:t>Developed by (first instance)</w:t>
            </w:r>
          </w:p>
        </w:tc>
        <w:tc>
          <w:tcPr>
            <w:tcW w:w="1382" w:type="dxa"/>
            <w:shd w:val="clear" w:color="auto" w:fill="ABD9F8" w:themeFill="accent1" w:themeFillTint="66"/>
            <w:vAlign w:val="center"/>
          </w:tcPr>
          <w:p w:rsidR="0049609F" w:rsidRPr="0049609F" w:rsidRDefault="0049609F" w:rsidP="0049609F">
            <w:pPr>
              <w:jc w:val="both"/>
              <w:rPr>
                <w:sz w:val="24"/>
                <w:szCs w:val="24"/>
              </w:rPr>
            </w:pPr>
            <w:r w:rsidRPr="0049609F">
              <w:rPr>
                <w:sz w:val="24"/>
                <w:szCs w:val="24"/>
              </w:rPr>
              <w:t>Crosby (USA, 1971)</w:t>
            </w:r>
          </w:p>
        </w:tc>
        <w:tc>
          <w:tcPr>
            <w:tcW w:w="1382" w:type="dxa"/>
            <w:shd w:val="clear" w:color="auto" w:fill="ABD9F8" w:themeFill="accent1" w:themeFillTint="66"/>
            <w:vAlign w:val="center"/>
          </w:tcPr>
          <w:p w:rsidR="0049609F" w:rsidRPr="0049609F" w:rsidRDefault="0049609F" w:rsidP="0049609F">
            <w:pPr>
              <w:jc w:val="both"/>
              <w:rPr>
                <w:sz w:val="24"/>
                <w:szCs w:val="24"/>
              </w:rPr>
            </w:pPr>
            <w:proofErr w:type="spellStart"/>
            <w:r w:rsidRPr="0049609F">
              <w:rPr>
                <w:sz w:val="24"/>
                <w:szCs w:val="24"/>
              </w:rPr>
              <w:t>Dienel</w:t>
            </w:r>
            <w:proofErr w:type="spellEnd"/>
            <w:r w:rsidRPr="0049609F">
              <w:rPr>
                <w:sz w:val="24"/>
                <w:szCs w:val="24"/>
              </w:rPr>
              <w:t xml:space="preserve"> (Germany., 1970s)</w:t>
            </w:r>
          </w:p>
        </w:tc>
        <w:tc>
          <w:tcPr>
            <w:tcW w:w="1382" w:type="dxa"/>
            <w:shd w:val="clear" w:color="auto" w:fill="ABD9F8" w:themeFill="accent1" w:themeFillTint="66"/>
            <w:vAlign w:val="center"/>
          </w:tcPr>
          <w:p w:rsidR="0049609F" w:rsidRPr="0049609F" w:rsidRDefault="0049609F" w:rsidP="0049609F">
            <w:pPr>
              <w:jc w:val="both"/>
              <w:rPr>
                <w:sz w:val="24"/>
                <w:szCs w:val="24"/>
              </w:rPr>
            </w:pPr>
            <w:r w:rsidRPr="0049609F">
              <w:rPr>
                <w:sz w:val="24"/>
                <w:szCs w:val="24"/>
              </w:rPr>
              <w:t>Danish Board of Technology (1987)</w:t>
            </w:r>
          </w:p>
        </w:tc>
        <w:tc>
          <w:tcPr>
            <w:tcW w:w="1382" w:type="dxa"/>
            <w:shd w:val="clear" w:color="auto" w:fill="ABD9F8" w:themeFill="accent1" w:themeFillTint="66"/>
            <w:vAlign w:val="center"/>
          </w:tcPr>
          <w:p w:rsidR="0049609F" w:rsidRPr="0049609F" w:rsidRDefault="0049609F" w:rsidP="0049609F">
            <w:pPr>
              <w:jc w:val="both"/>
              <w:rPr>
                <w:sz w:val="24"/>
                <w:szCs w:val="24"/>
              </w:rPr>
            </w:pPr>
            <w:r w:rsidRPr="0049609F">
              <w:rPr>
                <w:sz w:val="24"/>
                <w:szCs w:val="24"/>
              </w:rPr>
              <w:t xml:space="preserve">James </w:t>
            </w:r>
            <w:proofErr w:type="spellStart"/>
            <w:r w:rsidRPr="0049609F">
              <w:rPr>
                <w:sz w:val="24"/>
                <w:szCs w:val="24"/>
              </w:rPr>
              <w:t>Fishkin</w:t>
            </w:r>
            <w:proofErr w:type="spellEnd"/>
            <w:r w:rsidRPr="0049609F">
              <w:rPr>
                <w:sz w:val="24"/>
                <w:szCs w:val="24"/>
              </w:rPr>
              <w:t xml:space="preserve"> (USA, 1994)</w:t>
            </w:r>
          </w:p>
        </w:tc>
        <w:tc>
          <w:tcPr>
            <w:tcW w:w="2294" w:type="dxa"/>
            <w:shd w:val="clear" w:color="auto" w:fill="ABD9F8" w:themeFill="accent1" w:themeFillTint="66"/>
            <w:vAlign w:val="center"/>
          </w:tcPr>
          <w:p w:rsidR="0049609F" w:rsidRPr="0049609F" w:rsidRDefault="0049609F" w:rsidP="0049609F">
            <w:pPr>
              <w:jc w:val="both"/>
              <w:rPr>
                <w:sz w:val="24"/>
                <w:szCs w:val="24"/>
              </w:rPr>
            </w:pPr>
            <w:r w:rsidRPr="0049609F">
              <w:rPr>
                <w:sz w:val="24"/>
                <w:szCs w:val="24"/>
              </w:rPr>
              <w:t>Gordon Gibson (Canada, 2002)</w:t>
            </w:r>
          </w:p>
        </w:tc>
      </w:tr>
      <w:tr w:rsidR="0049609F" w:rsidRPr="0049609F" w:rsidTr="00A657A6">
        <w:trPr>
          <w:trHeight w:val="732"/>
        </w:trPr>
        <w:tc>
          <w:tcPr>
            <w:tcW w:w="1245" w:type="dxa"/>
            <w:vAlign w:val="center"/>
          </w:tcPr>
          <w:p w:rsidR="0049609F" w:rsidRPr="00175860" w:rsidRDefault="0049609F" w:rsidP="0049609F">
            <w:pPr>
              <w:jc w:val="both"/>
              <w:rPr>
                <w:b/>
                <w:i/>
                <w:color w:val="0B5484" w:themeColor="accent1" w:themeShade="80"/>
                <w:sz w:val="24"/>
                <w:szCs w:val="24"/>
              </w:rPr>
            </w:pPr>
            <w:r w:rsidRPr="00175860">
              <w:rPr>
                <w:b/>
                <w:i/>
                <w:color w:val="0B5484" w:themeColor="accent1" w:themeShade="80"/>
                <w:sz w:val="24"/>
                <w:szCs w:val="24"/>
              </w:rPr>
              <w:t>No. of citizens</w:t>
            </w:r>
          </w:p>
        </w:tc>
        <w:tc>
          <w:tcPr>
            <w:tcW w:w="1382" w:type="dxa"/>
            <w:vAlign w:val="center"/>
          </w:tcPr>
          <w:p w:rsidR="0049609F" w:rsidRPr="0049609F" w:rsidRDefault="0049609F" w:rsidP="0049609F">
            <w:pPr>
              <w:jc w:val="both"/>
              <w:rPr>
                <w:sz w:val="24"/>
                <w:szCs w:val="24"/>
              </w:rPr>
            </w:pPr>
            <w:r w:rsidRPr="0049609F">
              <w:rPr>
                <w:sz w:val="24"/>
                <w:szCs w:val="24"/>
              </w:rPr>
              <w:t>12-26</w:t>
            </w:r>
          </w:p>
        </w:tc>
        <w:tc>
          <w:tcPr>
            <w:tcW w:w="1382" w:type="dxa"/>
            <w:vAlign w:val="center"/>
          </w:tcPr>
          <w:p w:rsidR="0049609F" w:rsidRPr="0049609F" w:rsidRDefault="0049609F" w:rsidP="0049609F">
            <w:pPr>
              <w:jc w:val="both"/>
              <w:rPr>
                <w:sz w:val="24"/>
                <w:szCs w:val="24"/>
              </w:rPr>
            </w:pPr>
            <w:r w:rsidRPr="0049609F">
              <w:rPr>
                <w:sz w:val="24"/>
                <w:szCs w:val="24"/>
              </w:rPr>
              <w:t>100-500</w:t>
            </w:r>
          </w:p>
        </w:tc>
        <w:tc>
          <w:tcPr>
            <w:tcW w:w="1382" w:type="dxa"/>
            <w:vAlign w:val="center"/>
          </w:tcPr>
          <w:p w:rsidR="0049609F" w:rsidRPr="0049609F" w:rsidRDefault="0049609F" w:rsidP="0049609F">
            <w:pPr>
              <w:jc w:val="both"/>
              <w:rPr>
                <w:sz w:val="24"/>
                <w:szCs w:val="24"/>
              </w:rPr>
            </w:pPr>
            <w:r w:rsidRPr="0049609F">
              <w:rPr>
                <w:sz w:val="24"/>
                <w:szCs w:val="24"/>
              </w:rPr>
              <w:t>10-25</w:t>
            </w:r>
          </w:p>
        </w:tc>
        <w:tc>
          <w:tcPr>
            <w:tcW w:w="1382" w:type="dxa"/>
            <w:vAlign w:val="center"/>
          </w:tcPr>
          <w:p w:rsidR="0049609F" w:rsidRPr="0049609F" w:rsidRDefault="0049609F" w:rsidP="0049609F">
            <w:pPr>
              <w:jc w:val="both"/>
              <w:rPr>
                <w:sz w:val="24"/>
                <w:szCs w:val="24"/>
              </w:rPr>
            </w:pPr>
            <w:r w:rsidRPr="0049609F">
              <w:rPr>
                <w:sz w:val="24"/>
                <w:szCs w:val="24"/>
              </w:rPr>
              <w:t>100-500</w:t>
            </w:r>
          </w:p>
        </w:tc>
        <w:tc>
          <w:tcPr>
            <w:tcW w:w="2294" w:type="dxa"/>
            <w:vAlign w:val="center"/>
          </w:tcPr>
          <w:p w:rsidR="0049609F" w:rsidRPr="0049609F" w:rsidRDefault="0049609F" w:rsidP="0049609F">
            <w:pPr>
              <w:jc w:val="both"/>
              <w:rPr>
                <w:sz w:val="24"/>
                <w:szCs w:val="24"/>
              </w:rPr>
            </w:pPr>
            <w:r w:rsidRPr="0049609F">
              <w:rPr>
                <w:sz w:val="24"/>
                <w:szCs w:val="24"/>
              </w:rPr>
              <w:t>100-160</w:t>
            </w:r>
          </w:p>
        </w:tc>
      </w:tr>
      <w:tr w:rsidR="0049609F" w:rsidRPr="0049609F" w:rsidTr="0085256C">
        <w:trPr>
          <w:trHeight w:val="732"/>
        </w:trPr>
        <w:tc>
          <w:tcPr>
            <w:tcW w:w="1245" w:type="dxa"/>
            <w:shd w:val="clear" w:color="auto" w:fill="ABD9F8" w:themeFill="accent1" w:themeFillTint="66"/>
            <w:vAlign w:val="center"/>
          </w:tcPr>
          <w:p w:rsidR="0049609F" w:rsidRPr="00175860" w:rsidRDefault="0049609F" w:rsidP="0049609F">
            <w:pPr>
              <w:jc w:val="both"/>
              <w:rPr>
                <w:b/>
                <w:i/>
                <w:color w:val="0B5484" w:themeColor="accent1" w:themeShade="80"/>
                <w:sz w:val="24"/>
                <w:szCs w:val="24"/>
              </w:rPr>
            </w:pPr>
            <w:r w:rsidRPr="00175860">
              <w:rPr>
                <w:b/>
                <w:i/>
                <w:color w:val="0B5484" w:themeColor="accent1" w:themeShade="80"/>
                <w:sz w:val="24"/>
                <w:szCs w:val="24"/>
              </w:rPr>
              <w:t>No. of meetings</w:t>
            </w:r>
          </w:p>
        </w:tc>
        <w:tc>
          <w:tcPr>
            <w:tcW w:w="1382" w:type="dxa"/>
            <w:shd w:val="clear" w:color="auto" w:fill="ABD9F8" w:themeFill="accent1" w:themeFillTint="66"/>
            <w:vAlign w:val="center"/>
          </w:tcPr>
          <w:p w:rsidR="0049609F" w:rsidRPr="0049609F" w:rsidRDefault="0049609F" w:rsidP="0049609F">
            <w:pPr>
              <w:jc w:val="both"/>
              <w:rPr>
                <w:sz w:val="24"/>
                <w:szCs w:val="24"/>
              </w:rPr>
            </w:pPr>
            <w:r w:rsidRPr="0049609F">
              <w:rPr>
                <w:sz w:val="24"/>
                <w:szCs w:val="24"/>
              </w:rPr>
              <w:t>2-5 days</w:t>
            </w:r>
          </w:p>
        </w:tc>
        <w:tc>
          <w:tcPr>
            <w:tcW w:w="1382" w:type="dxa"/>
            <w:shd w:val="clear" w:color="auto" w:fill="ABD9F8" w:themeFill="accent1" w:themeFillTint="66"/>
            <w:vAlign w:val="center"/>
          </w:tcPr>
          <w:p w:rsidR="0049609F" w:rsidRPr="0049609F" w:rsidRDefault="0049609F" w:rsidP="0049609F">
            <w:pPr>
              <w:jc w:val="both"/>
              <w:rPr>
                <w:sz w:val="24"/>
                <w:szCs w:val="24"/>
              </w:rPr>
            </w:pPr>
            <w:r w:rsidRPr="0049609F">
              <w:rPr>
                <w:sz w:val="24"/>
                <w:szCs w:val="24"/>
              </w:rPr>
              <w:t>4-5 days</w:t>
            </w:r>
          </w:p>
        </w:tc>
        <w:tc>
          <w:tcPr>
            <w:tcW w:w="1382" w:type="dxa"/>
            <w:shd w:val="clear" w:color="auto" w:fill="ABD9F8" w:themeFill="accent1" w:themeFillTint="66"/>
            <w:vAlign w:val="center"/>
          </w:tcPr>
          <w:p w:rsidR="0049609F" w:rsidRPr="0049609F" w:rsidRDefault="0049609F" w:rsidP="0049609F">
            <w:pPr>
              <w:jc w:val="both"/>
              <w:rPr>
                <w:sz w:val="24"/>
                <w:szCs w:val="24"/>
              </w:rPr>
            </w:pPr>
            <w:r w:rsidRPr="0049609F">
              <w:rPr>
                <w:sz w:val="24"/>
                <w:szCs w:val="24"/>
              </w:rPr>
              <w:t>7-8 days</w:t>
            </w:r>
          </w:p>
        </w:tc>
        <w:tc>
          <w:tcPr>
            <w:tcW w:w="1382" w:type="dxa"/>
            <w:shd w:val="clear" w:color="auto" w:fill="ABD9F8" w:themeFill="accent1" w:themeFillTint="66"/>
            <w:vAlign w:val="center"/>
          </w:tcPr>
          <w:p w:rsidR="0049609F" w:rsidRPr="0049609F" w:rsidRDefault="0049609F" w:rsidP="0049609F">
            <w:pPr>
              <w:jc w:val="both"/>
              <w:rPr>
                <w:sz w:val="24"/>
                <w:szCs w:val="24"/>
              </w:rPr>
            </w:pPr>
            <w:r w:rsidRPr="0049609F">
              <w:rPr>
                <w:sz w:val="24"/>
                <w:szCs w:val="24"/>
              </w:rPr>
              <w:t>2-3 days</w:t>
            </w:r>
          </w:p>
        </w:tc>
        <w:tc>
          <w:tcPr>
            <w:tcW w:w="2294" w:type="dxa"/>
            <w:shd w:val="clear" w:color="auto" w:fill="ABD9F8" w:themeFill="accent1" w:themeFillTint="66"/>
            <w:vAlign w:val="center"/>
          </w:tcPr>
          <w:p w:rsidR="0049609F" w:rsidRPr="0049609F" w:rsidRDefault="0049609F" w:rsidP="0049609F">
            <w:pPr>
              <w:jc w:val="both"/>
              <w:rPr>
                <w:sz w:val="24"/>
                <w:szCs w:val="24"/>
              </w:rPr>
            </w:pPr>
            <w:r w:rsidRPr="0049609F">
              <w:rPr>
                <w:sz w:val="24"/>
                <w:szCs w:val="24"/>
              </w:rPr>
              <w:t>20-30 days</w:t>
            </w:r>
          </w:p>
        </w:tc>
      </w:tr>
      <w:tr w:rsidR="0049609F" w:rsidRPr="0049609F" w:rsidTr="00A657A6">
        <w:trPr>
          <w:trHeight w:val="732"/>
        </w:trPr>
        <w:tc>
          <w:tcPr>
            <w:tcW w:w="1245" w:type="dxa"/>
            <w:vAlign w:val="center"/>
          </w:tcPr>
          <w:p w:rsidR="0049609F" w:rsidRPr="00175860" w:rsidRDefault="0049609F" w:rsidP="0049609F">
            <w:pPr>
              <w:jc w:val="both"/>
              <w:rPr>
                <w:b/>
                <w:i/>
                <w:color w:val="0B5484" w:themeColor="accent1" w:themeShade="80"/>
                <w:sz w:val="24"/>
                <w:szCs w:val="24"/>
              </w:rPr>
            </w:pPr>
            <w:r w:rsidRPr="00175860">
              <w:rPr>
                <w:b/>
                <w:i/>
                <w:color w:val="0B5484" w:themeColor="accent1" w:themeShade="80"/>
                <w:sz w:val="24"/>
                <w:szCs w:val="24"/>
              </w:rPr>
              <w:t>Selection method</w:t>
            </w:r>
          </w:p>
        </w:tc>
        <w:tc>
          <w:tcPr>
            <w:tcW w:w="1382" w:type="dxa"/>
            <w:vAlign w:val="center"/>
          </w:tcPr>
          <w:p w:rsidR="0049609F" w:rsidRPr="0049609F" w:rsidRDefault="0049609F" w:rsidP="0049609F">
            <w:pPr>
              <w:jc w:val="both"/>
              <w:rPr>
                <w:sz w:val="24"/>
                <w:szCs w:val="24"/>
              </w:rPr>
            </w:pPr>
            <w:r w:rsidRPr="0049609F">
              <w:rPr>
                <w:sz w:val="24"/>
                <w:szCs w:val="24"/>
              </w:rPr>
              <w:t>Random selection</w:t>
            </w:r>
          </w:p>
        </w:tc>
        <w:tc>
          <w:tcPr>
            <w:tcW w:w="1382" w:type="dxa"/>
            <w:vAlign w:val="center"/>
          </w:tcPr>
          <w:p w:rsidR="0049609F" w:rsidRPr="0049609F" w:rsidRDefault="0049609F" w:rsidP="0049609F">
            <w:pPr>
              <w:jc w:val="both"/>
              <w:rPr>
                <w:sz w:val="24"/>
                <w:szCs w:val="24"/>
              </w:rPr>
            </w:pPr>
            <w:r w:rsidRPr="0049609F">
              <w:rPr>
                <w:sz w:val="24"/>
                <w:szCs w:val="24"/>
              </w:rPr>
              <w:t>Random selection</w:t>
            </w:r>
          </w:p>
        </w:tc>
        <w:tc>
          <w:tcPr>
            <w:tcW w:w="1382" w:type="dxa"/>
            <w:vAlign w:val="center"/>
          </w:tcPr>
          <w:p w:rsidR="0049609F" w:rsidRPr="0049609F" w:rsidRDefault="0049609F" w:rsidP="0049609F">
            <w:pPr>
              <w:jc w:val="both"/>
              <w:rPr>
                <w:sz w:val="24"/>
                <w:szCs w:val="24"/>
              </w:rPr>
            </w:pPr>
            <w:r w:rsidRPr="0049609F">
              <w:rPr>
                <w:sz w:val="24"/>
                <w:szCs w:val="24"/>
              </w:rPr>
              <w:t>Random + self-selection</w:t>
            </w:r>
          </w:p>
        </w:tc>
        <w:tc>
          <w:tcPr>
            <w:tcW w:w="1382" w:type="dxa"/>
            <w:vAlign w:val="center"/>
          </w:tcPr>
          <w:p w:rsidR="0049609F" w:rsidRPr="0049609F" w:rsidRDefault="0049609F" w:rsidP="0049609F">
            <w:pPr>
              <w:jc w:val="both"/>
              <w:rPr>
                <w:sz w:val="24"/>
                <w:szCs w:val="24"/>
              </w:rPr>
            </w:pPr>
            <w:r w:rsidRPr="0049609F">
              <w:rPr>
                <w:sz w:val="24"/>
                <w:szCs w:val="24"/>
              </w:rPr>
              <w:t>Random selection</w:t>
            </w:r>
          </w:p>
        </w:tc>
        <w:tc>
          <w:tcPr>
            <w:tcW w:w="2294" w:type="dxa"/>
            <w:vAlign w:val="center"/>
          </w:tcPr>
          <w:p w:rsidR="0049609F" w:rsidRPr="0049609F" w:rsidRDefault="0049609F" w:rsidP="0049609F">
            <w:pPr>
              <w:jc w:val="both"/>
              <w:rPr>
                <w:sz w:val="24"/>
                <w:szCs w:val="24"/>
              </w:rPr>
            </w:pPr>
            <w:r w:rsidRPr="0049609F">
              <w:rPr>
                <w:sz w:val="24"/>
                <w:szCs w:val="24"/>
              </w:rPr>
              <w:t>Random + self-selection</w:t>
            </w:r>
          </w:p>
        </w:tc>
      </w:tr>
      <w:tr w:rsidR="0049609F" w:rsidRPr="0049609F" w:rsidTr="0085256C">
        <w:trPr>
          <w:trHeight w:val="732"/>
        </w:trPr>
        <w:tc>
          <w:tcPr>
            <w:tcW w:w="1245" w:type="dxa"/>
            <w:shd w:val="clear" w:color="auto" w:fill="ABD9F8" w:themeFill="accent1" w:themeFillTint="66"/>
            <w:vAlign w:val="center"/>
          </w:tcPr>
          <w:p w:rsidR="0049609F" w:rsidRPr="00175860" w:rsidRDefault="0049609F" w:rsidP="0049609F">
            <w:pPr>
              <w:jc w:val="both"/>
              <w:rPr>
                <w:b/>
                <w:i/>
                <w:color w:val="0B5484" w:themeColor="accent1" w:themeShade="80"/>
                <w:sz w:val="24"/>
                <w:szCs w:val="24"/>
              </w:rPr>
            </w:pPr>
            <w:r w:rsidRPr="00175860">
              <w:rPr>
                <w:b/>
                <w:i/>
                <w:color w:val="0B5484" w:themeColor="accent1" w:themeShade="80"/>
                <w:sz w:val="24"/>
                <w:szCs w:val="24"/>
              </w:rPr>
              <w:t>Activities</w:t>
            </w:r>
          </w:p>
        </w:tc>
        <w:tc>
          <w:tcPr>
            <w:tcW w:w="1382" w:type="dxa"/>
            <w:shd w:val="clear" w:color="auto" w:fill="ABD9F8" w:themeFill="accent1" w:themeFillTint="66"/>
            <w:vAlign w:val="center"/>
          </w:tcPr>
          <w:p w:rsidR="0049609F" w:rsidRPr="0049609F" w:rsidRDefault="0049609F" w:rsidP="0049609F">
            <w:pPr>
              <w:jc w:val="both"/>
              <w:rPr>
                <w:sz w:val="24"/>
                <w:szCs w:val="24"/>
              </w:rPr>
            </w:pPr>
            <w:r w:rsidRPr="0049609F">
              <w:rPr>
                <w:sz w:val="24"/>
                <w:szCs w:val="24"/>
              </w:rPr>
              <w:t>Information + deliberation</w:t>
            </w:r>
          </w:p>
        </w:tc>
        <w:tc>
          <w:tcPr>
            <w:tcW w:w="1382" w:type="dxa"/>
            <w:shd w:val="clear" w:color="auto" w:fill="ABD9F8" w:themeFill="accent1" w:themeFillTint="66"/>
            <w:vAlign w:val="center"/>
          </w:tcPr>
          <w:p w:rsidR="0049609F" w:rsidRPr="0049609F" w:rsidRDefault="0049609F" w:rsidP="0049609F">
            <w:pPr>
              <w:jc w:val="both"/>
              <w:rPr>
                <w:sz w:val="24"/>
                <w:szCs w:val="24"/>
              </w:rPr>
            </w:pPr>
            <w:r w:rsidRPr="0049609F">
              <w:rPr>
                <w:sz w:val="24"/>
                <w:szCs w:val="24"/>
              </w:rPr>
              <w:t>Information + deliberation</w:t>
            </w:r>
          </w:p>
        </w:tc>
        <w:tc>
          <w:tcPr>
            <w:tcW w:w="1382" w:type="dxa"/>
            <w:shd w:val="clear" w:color="auto" w:fill="ABD9F8" w:themeFill="accent1" w:themeFillTint="66"/>
            <w:vAlign w:val="center"/>
          </w:tcPr>
          <w:p w:rsidR="0049609F" w:rsidRPr="0049609F" w:rsidRDefault="0049609F" w:rsidP="0049609F">
            <w:pPr>
              <w:jc w:val="both"/>
              <w:rPr>
                <w:sz w:val="24"/>
                <w:szCs w:val="24"/>
              </w:rPr>
            </w:pPr>
            <w:r w:rsidRPr="0049609F">
              <w:rPr>
                <w:sz w:val="24"/>
                <w:szCs w:val="24"/>
              </w:rPr>
              <w:t>Information + deliberation</w:t>
            </w:r>
          </w:p>
        </w:tc>
        <w:tc>
          <w:tcPr>
            <w:tcW w:w="1382" w:type="dxa"/>
            <w:shd w:val="clear" w:color="auto" w:fill="ABD9F8" w:themeFill="accent1" w:themeFillTint="66"/>
            <w:vAlign w:val="center"/>
          </w:tcPr>
          <w:p w:rsidR="0049609F" w:rsidRPr="0049609F" w:rsidRDefault="0049609F" w:rsidP="0049609F">
            <w:pPr>
              <w:jc w:val="both"/>
              <w:rPr>
                <w:sz w:val="24"/>
                <w:szCs w:val="24"/>
              </w:rPr>
            </w:pPr>
            <w:r w:rsidRPr="0049609F">
              <w:rPr>
                <w:sz w:val="24"/>
                <w:szCs w:val="24"/>
              </w:rPr>
              <w:t>Information + deliberation</w:t>
            </w:r>
          </w:p>
        </w:tc>
        <w:tc>
          <w:tcPr>
            <w:tcW w:w="2294" w:type="dxa"/>
            <w:shd w:val="clear" w:color="auto" w:fill="ABD9F8" w:themeFill="accent1" w:themeFillTint="66"/>
            <w:vAlign w:val="center"/>
          </w:tcPr>
          <w:p w:rsidR="0049609F" w:rsidRPr="0049609F" w:rsidRDefault="0049609F" w:rsidP="0049609F">
            <w:pPr>
              <w:jc w:val="both"/>
              <w:rPr>
                <w:sz w:val="24"/>
                <w:szCs w:val="24"/>
              </w:rPr>
            </w:pPr>
            <w:r w:rsidRPr="0049609F">
              <w:rPr>
                <w:sz w:val="24"/>
                <w:szCs w:val="24"/>
              </w:rPr>
              <w:t>Information +consultation +deliberation</w:t>
            </w:r>
          </w:p>
        </w:tc>
      </w:tr>
      <w:tr w:rsidR="0049609F" w:rsidRPr="0049609F" w:rsidTr="00A657A6">
        <w:trPr>
          <w:trHeight w:val="732"/>
        </w:trPr>
        <w:tc>
          <w:tcPr>
            <w:tcW w:w="1245" w:type="dxa"/>
            <w:vAlign w:val="center"/>
          </w:tcPr>
          <w:p w:rsidR="0049609F" w:rsidRPr="00175860" w:rsidRDefault="0049609F" w:rsidP="0049609F">
            <w:pPr>
              <w:jc w:val="both"/>
              <w:rPr>
                <w:b/>
                <w:i/>
                <w:color w:val="0B5484" w:themeColor="accent1" w:themeShade="80"/>
                <w:sz w:val="24"/>
                <w:szCs w:val="24"/>
              </w:rPr>
            </w:pPr>
            <w:r w:rsidRPr="00175860">
              <w:rPr>
                <w:b/>
                <w:i/>
                <w:color w:val="0B5484" w:themeColor="accent1" w:themeShade="80"/>
                <w:sz w:val="24"/>
                <w:szCs w:val="24"/>
              </w:rPr>
              <w:t>Result</w:t>
            </w:r>
          </w:p>
        </w:tc>
        <w:tc>
          <w:tcPr>
            <w:tcW w:w="1382" w:type="dxa"/>
            <w:vAlign w:val="center"/>
          </w:tcPr>
          <w:p w:rsidR="0049609F" w:rsidRPr="0049609F" w:rsidRDefault="0049609F" w:rsidP="0049609F">
            <w:pPr>
              <w:jc w:val="both"/>
              <w:rPr>
                <w:sz w:val="24"/>
                <w:szCs w:val="24"/>
              </w:rPr>
            </w:pPr>
            <w:r w:rsidRPr="0049609F">
              <w:rPr>
                <w:sz w:val="24"/>
                <w:szCs w:val="24"/>
              </w:rPr>
              <w:t>Collective position report</w:t>
            </w:r>
          </w:p>
        </w:tc>
        <w:tc>
          <w:tcPr>
            <w:tcW w:w="1382" w:type="dxa"/>
            <w:vAlign w:val="center"/>
          </w:tcPr>
          <w:p w:rsidR="0049609F" w:rsidRPr="0049609F" w:rsidRDefault="0049609F" w:rsidP="0049609F">
            <w:pPr>
              <w:jc w:val="both"/>
              <w:rPr>
                <w:sz w:val="24"/>
                <w:szCs w:val="24"/>
              </w:rPr>
            </w:pPr>
            <w:r w:rsidRPr="0049609F">
              <w:rPr>
                <w:sz w:val="24"/>
                <w:szCs w:val="24"/>
              </w:rPr>
              <w:t xml:space="preserve">Survey opinions </w:t>
            </w:r>
          </w:p>
          <w:p w:rsidR="0049609F" w:rsidRPr="0049609F" w:rsidRDefault="0049609F" w:rsidP="0049609F">
            <w:pPr>
              <w:jc w:val="both"/>
              <w:rPr>
                <w:sz w:val="24"/>
                <w:szCs w:val="24"/>
              </w:rPr>
            </w:pPr>
            <w:r w:rsidRPr="0049609F">
              <w:rPr>
                <w:sz w:val="24"/>
                <w:szCs w:val="24"/>
              </w:rPr>
              <w:t>+</w:t>
            </w:r>
          </w:p>
          <w:p w:rsidR="0049609F" w:rsidRPr="0049609F" w:rsidRDefault="0049609F" w:rsidP="0049609F">
            <w:pPr>
              <w:jc w:val="both"/>
              <w:rPr>
                <w:sz w:val="24"/>
                <w:szCs w:val="24"/>
              </w:rPr>
            </w:pPr>
            <w:r w:rsidRPr="0049609F">
              <w:rPr>
                <w:sz w:val="24"/>
                <w:szCs w:val="24"/>
              </w:rPr>
              <w:t>Collective position report</w:t>
            </w:r>
          </w:p>
        </w:tc>
        <w:tc>
          <w:tcPr>
            <w:tcW w:w="1382" w:type="dxa"/>
            <w:vAlign w:val="center"/>
          </w:tcPr>
          <w:p w:rsidR="0049609F" w:rsidRPr="0049609F" w:rsidRDefault="0049609F" w:rsidP="0049609F">
            <w:pPr>
              <w:jc w:val="both"/>
              <w:rPr>
                <w:sz w:val="24"/>
                <w:szCs w:val="24"/>
              </w:rPr>
            </w:pPr>
            <w:r w:rsidRPr="0049609F">
              <w:rPr>
                <w:sz w:val="24"/>
                <w:szCs w:val="24"/>
              </w:rPr>
              <w:t>Collective position report</w:t>
            </w:r>
          </w:p>
        </w:tc>
        <w:tc>
          <w:tcPr>
            <w:tcW w:w="1382" w:type="dxa"/>
            <w:vAlign w:val="center"/>
          </w:tcPr>
          <w:p w:rsidR="0049609F" w:rsidRPr="0049609F" w:rsidRDefault="0049609F" w:rsidP="0049609F">
            <w:pPr>
              <w:jc w:val="both"/>
              <w:rPr>
                <w:sz w:val="24"/>
                <w:szCs w:val="24"/>
              </w:rPr>
            </w:pPr>
            <w:r w:rsidRPr="0049609F">
              <w:rPr>
                <w:sz w:val="24"/>
                <w:szCs w:val="24"/>
              </w:rPr>
              <w:t>Survey opinions</w:t>
            </w:r>
          </w:p>
        </w:tc>
        <w:tc>
          <w:tcPr>
            <w:tcW w:w="2294" w:type="dxa"/>
            <w:vAlign w:val="center"/>
          </w:tcPr>
          <w:p w:rsidR="0049609F" w:rsidRPr="0049609F" w:rsidRDefault="0049609F" w:rsidP="0049609F">
            <w:pPr>
              <w:jc w:val="both"/>
              <w:rPr>
                <w:sz w:val="24"/>
                <w:szCs w:val="24"/>
              </w:rPr>
            </w:pPr>
            <w:r w:rsidRPr="0049609F">
              <w:rPr>
                <w:sz w:val="24"/>
                <w:szCs w:val="24"/>
              </w:rPr>
              <w:t>Detailed recommendation</w:t>
            </w:r>
          </w:p>
        </w:tc>
      </w:tr>
      <w:tr w:rsidR="0049609F" w:rsidRPr="0049609F" w:rsidTr="0085256C">
        <w:trPr>
          <w:trHeight w:val="732"/>
        </w:trPr>
        <w:tc>
          <w:tcPr>
            <w:tcW w:w="1245" w:type="dxa"/>
            <w:shd w:val="clear" w:color="auto" w:fill="ABD9F8" w:themeFill="accent1" w:themeFillTint="66"/>
            <w:vAlign w:val="center"/>
          </w:tcPr>
          <w:p w:rsidR="0049609F" w:rsidRPr="00175860" w:rsidRDefault="0049609F" w:rsidP="0049609F">
            <w:pPr>
              <w:jc w:val="both"/>
              <w:rPr>
                <w:b/>
                <w:i/>
                <w:color w:val="0B5484" w:themeColor="accent1" w:themeShade="80"/>
                <w:sz w:val="24"/>
                <w:szCs w:val="24"/>
              </w:rPr>
            </w:pPr>
            <w:r w:rsidRPr="00175860">
              <w:rPr>
                <w:b/>
                <w:i/>
                <w:color w:val="0B5484" w:themeColor="accent1" w:themeShade="80"/>
                <w:sz w:val="24"/>
                <w:szCs w:val="24"/>
              </w:rPr>
              <w:t>Destination of proposal</w:t>
            </w:r>
          </w:p>
        </w:tc>
        <w:tc>
          <w:tcPr>
            <w:tcW w:w="1382" w:type="dxa"/>
            <w:shd w:val="clear" w:color="auto" w:fill="ABD9F8" w:themeFill="accent1" w:themeFillTint="66"/>
            <w:vAlign w:val="center"/>
          </w:tcPr>
          <w:p w:rsidR="0049609F" w:rsidRPr="0049609F" w:rsidRDefault="0049609F" w:rsidP="0049609F">
            <w:pPr>
              <w:jc w:val="both"/>
              <w:rPr>
                <w:sz w:val="24"/>
                <w:szCs w:val="24"/>
              </w:rPr>
            </w:pPr>
            <w:r w:rsidRPr="0049609F">
              <w:rPr>
                <w:sz w:val="24"/>
                <w:szCs w:val="24"/>
              </w:rPr>
              <w:t>Sponsor and mass media</w:t>
            </w:r>
          </w:p>
        </w:tc>
        <w:tc>
          <w:tcPr>
            <w:tcW w:w="1382" w:type="dxa"/>
            <w:shd w:val="clear" w:color="auto" w:fill="ABD9F8" w:themeFill="accent1" w:themeFillTint="66"/>
            <w:vAlign w:val="center"/>
          </w:tcPr>
          <w:p w:rsidR="0049609F" w:rsidRPr="0049609F" w:rsidRDefault="0049609F" w:rsidP="0049609F">
            <w:pPr>
              <w:jc w:val="both"/>
              <w:rPr>
                <w:sz w:val="24"/>
                <w:szCs w:val="24"/>
              </w:rPr>
            </w:pPr>
            <w:r w:rsidRPr="0049609F">
              <w:rPr>
                <w:sz w:val="24"/>
                <w:szCs w:val="24"/>
              </w:rPr>
              <w:t>Sponsor and mass media</w:t>
            </w:r>
          </w:p>
        </w:tc>
        <w:tc>
          <w:tcPr>
            <w:tcW w:w="1382" w:type="dxa"/>
            <w:shd w:val="clear" w:color="auto" w:fill="ABD9F8" w:themeFill="accent1" w:themeFillTint="66"/>
            <w:vAlign w:val="center"/>
          </w:tcPr>
          <w:p w:rsidR="0049609F" w:rsidRPr="0049609F" w:rsidRDefault="0049609F" w:rsidP="0049609F">
            <w:pPr>
              <w:jc w:val="both"/>
              <w:rPr>
                <w:sz w:val="24"/>
                <w:szCs w:val="24"/>
              </w:rPr>
            </w:pPr>
            <w:r w:rsidRPr="0049609F">
              <w:rPr>
                <w:sz w:val="24"/>
                <w:szCs w:val="24"/>
              </w:rPr>
              <w:t>Parliament and mass media</w:t>
            </w:r>
          </w:p>
        </w:tc>
        <w:tc>
          <w:tcPr>
            <w:tcW w:w="1382" w:type="dxa"/>
            <w:shd w:val="clear" w:color="auto" w:fill="ABD9F8" w:themeFill="accent1" w:themeFillTint="66"/>
            <w:vAlign w:val="center"/>
          </w:tcPr>
          <w:p w:rsidR="0049609F" w:rsidRPr="0049609F" w:rsidRDefault="0049609F" w:rsidP="0049609F">
            <w:pPr>
              <w:jc w:val="both"/>
              <w:rPr>
                <w:sz w:val="24"/>
                <w:szCs w:val="24"/>
              </w:rPr>
            </w:pPr>
            <w:r w:rsidRPr="0049609F">
              <w:rPr>
                <w:sz w:val="24"/>
                <w:szCs w:val="24"/>
              </w:rPr>
              <w:t>Sponsor and mass media</w:t>
            </w:r>
          </w:p>
        </w:tc>
        <w:tc>
          <w:tcPr>
            <w:tcW w:w="2294" w:type="dxa"/>
            <w:shd w:val="clear" w:color="auto" w:fill="ABD9F8" w:themeFill="accent1" w:themeFillTint="66"/>
            <w:vAlign w:val="center"/>
          </w:tcPr>
          <w:p w:rsidR="0049609F" w:rsidRPr="0049609F" w:rsidRDefault="0049609F" w:rsidP="0049609F">
            <w:pPr>
              <w:jc w:val="both"/>
              <w:rPr>
                <w:sz w:val="24"/>
                <w:szCs w:val="24"/>
              </w:rPr>
            </w:pPr>
            <w:r w:rsidRPr="0049609F">
              <w:rPr>
                <w:sz w:val="24"/>
                <w:szCs w:val="24"/>
              </w:rPr>
              <w:t>Parliament, government and public referendum</w:t>
            </w:r>
          </w:p>
        </w:tc>
      </w:tr>
    </w:tbl>
    <w:p w:rsidR="0049609F" w:rsidRPr="0049609F" w:rsidRDefault="0049609F" w:rsidP="0049609F">
      <w:pPr>
        <w:jc w:val="both"/>
        <w:rPr>
          <w:sz w:val="24"/>
          <w:szCs w:val="24"/>
        </w:rPr>
      </w:pPr>
      <w:r w:rsidRPr="0049609F">
        <w:rPr>
          <w:sz w:val="24"/>
          <w:szCs w:val="24"/>
        </w:rPr>
        <w:t xml:space="preserve">Source: Elstub, S. (2014). </w:t>
      </w:r>
    </w:p>
    <w:p w:rsidR="00965E1D" w:rsidRDefault="00965E1D" w:rsidP="0049609F">
      <w:pPr>
        <w:jc w:val="both"/>
        <w:rPr>
          <w:b/>
          <w:color w:val="0B5484" w:themeColor="accent1" w:themeShade="80"/>
          <w:sz w:val="28"/>
          <w:szCs w:val="28"/>
        </w:rPr>
      </w:pPr>
    </w:p>
    <w:p w:rsidR="0049609F" w:rsidRPr="00965E1D" w:rsidRDefault="00A657A6" w:rsidP="0049609F">
      <w:pPr>
        <w:jc w:val="both"/>
        <w:rPr>
          <w:b/>
          <w:color w:val="0B5484" w:themeColor="accent1" w:themeShade="80"/>
          <w:sz w:val="28"/>
          <w:szCs w:val="28"/>
        </w:rPr>
      </w:pPr>
      <w:r w:rsidRPr="00965E1D">
        <w:rPr>
          <w:b/>
          <w:color w:val="0B5484" w:themeColor="accent1" w:themeShade="80"/>
          <w:sz w:val="28"/>
          <w:szCs w:val="28"/>
        </w:rPr>
        <w:t>The Mini-Public Process</w:t>
      </w:r>
    </w:p>
    <w:p w:rsidR="0049609F" w:rsidRPr="0049609F" w:rsidRDefault="00A657A6" w:rsidP="0049609F">
      <w:pPr>
        <w:jc w:val="both"/>
        <w:rPr>
          <w:sz w:val="24"/>
          <w:szCs w:val="24"/>
        </w:rPr>
      </w:pPr>
      <w:r>
        <w:rPr>
          <w:sz w:val="24"/>
          <w:szCs w:val="24"/>
        </w:rPr>
        <w:t xml:space="preserve">Despite the differences highlighted above, there remain many similarities in the mini-public process. Across the different types. </w:t>
      </w:r>
      <w:r w:rsidR="00965E1D" w:rsidRPr="0049609F">
        <w:rPr>
          <w:sz w:val="24"/>
          <w:szCs w:val="24"/>
        </w:rPr>
        <w:t>Typically,</w:t>
      </w:r>
      <w:r w:rsidR="0049609F" w:rsidRPr="0049609F">
        <w:rPr>
          <w:sz w:val="24"/>
          <w:szCs w:val="24"/>
        </w:rPr>
        <w:t xml:space="preserve"> a mini-public comprises five stages:</w:t>
      </w:r>
    </w:p>
    <w:p w:rsidR="0049609F" w:rsidRPr="0049609F" w:rsidRDefault="00965E1D" w:rsidP="0049609F">
      <w:pPr>
        <w:numPr>
          <w:ilvl w:val="0"/>
          <w:numId w:val="2"/>
        </w:numPr>
        <w:jc w:val="both"/>
        <w:rPr>
          <w:sz w:val="24"/>
          <w:szCs w:val="24"/>
        </w:rPr>
      </w:pPr>
      <w:r w:rsidRPr="00965E1D">
        <w:rPr>
          <w:b/>
          <w:i/>
          <w:color w:val="0B5484" w:themeColor="accent1" w:themeShade="80"/>
          <w:sz w:val="24"/>
          <w:szCs w:val="24"/>
        </w:rPr>
        <w:t>Planning and recruitment</w:t>
      </w:r>
      <w:r>
        <w:rPr>
          <w:b/>
          <w:color w:val="0B5484" w:themeColor="accent1" w:themeShade="80"/>
          <w:sz w:val="24"/>
          <w:szCs w:val="24"/>
        </w:rPr>
        <w:t>:</w:t>
      </w:r>
      <w:r w:rsidR="0049609F" w:rsidRPr="0049609F">
        <w:rPr>
          <w:sz w:val="24"/>
          <w:szCs w:val="24"/>
        </w:rPr>
        <w:t xml:space="preserve"> Usually, a Stewarding Committee oversees the process to ensure its quality and fairness. Often, mini-publics deal with divisive topics, and thus their legitimacy and impact hinge on the buy-in from a range of voices across divides –as well as the public standing of their guarantors, stewards and funders.</w:t>
      </w:r>
    </w:p>
    <w:p w:rsidR="0049609F" w:rsidRPr="0049609F" w:rsidRDefault="0049609F" w:rsidP="0049609F">
      <w:pPr>
        <w:numPr>
          <w:ilvl w:val="0"/>
          <w:numId w:val="2"/>
        </w:numPr>
        <w:jc w:val="both"/>
        <w:rPr>
          <w:sz w:val="24"/>
          <w:szCs w:val="24"/>
        </w:rPr>
      </w:pPr>
      <w:r w:rsidRPr="00965E1D">
        <w:rPr>
          <w:b/>
          <w:i/>
          <w:color w:val="0B5484" w:themeColor="accent1" w:themeShade="80"/>
          <w:sz w:val="24"/>
          <w:szCs w:val="24"/>
        </w:rPr>
        <w:t>Learning phase</w:t>
      </w:r>
      <w:r w:rsidR="00965E1D">
        <w:rPr>
          <w:b/>
          <w:color w:val="0B5484" w:themeColor="accent1" w:themeShade="80"/>
          <w:sz w:val="24"/>
          <w:szCs w:val="24"/>
        </w:rPr>
        <w:t>:</w:t>
      </w:r>
      <w:r w:rsidRPr="0049609F">
        <w:rPr>
          <w:sz w:val="24"/>
          <w:szCs w:val="24"/>
        </w:rPr>
        <w:t xml:space="preserve"> Participants are supported to learn about the topic from diverse perspectives. This can be done by combining time for individual learning (e.g. citizens receive information packages agreed by the Stewarding Committee), with time for group learning. During the latter, they are exposed to a range of evidence, views and testimonies covering </w:t>
      </w:r>
      <w:r w:rsidRPr="0049609F">
        <w:rPr>
          <w:sz w:val="24"/>
          <w:szCs w:val="24"/>
        </w:rPr>
        <w:lastRenderedPageBreak/>
        <w:t xml:space="preserve">the topic from various angles. Depending on the topic, this may include experts, officials, politicians, activists, and stakeholder representatives of various sorts (e.g. business, third sector, communities). Participants are empowered to interrogate these ‘witnesses’, and sometimes to choose them from a list prepared by the Stewarding Committee –who oversees that the mini-public is exposed to a balanced range of evidence and views. </w:t>
      </w:r>
    </w:p>
    <w:p w:rsidR="0049609F" w:rsidRPr="0049609F" w:rsidRDefault="0049609F" w:rsidP="0049609F">
      <w:pPr>
        <w:numPr>
          <w:ilvl w:val="0"/>
          <w:numId w:val="2"/>
        </w:numPr>
        <w:jc w:val="both"/>
        <w:rPr>
          <w:sz w:val="24"/>
          <w:szCs w:val="24"/>
        </w:rPr>
      </w:pPr>
      <w:r w:rsidRPr="00965E1D">
        <w:rPr>
          <w:b/>
          <w:i/>
          <w:color w:val="0B5484" w:themeColor="accent1" w:themeShade="80"/>
          <w:sz w:val="24"/>
          <w:szCs w:val="24"/>
        </w:rPr>
        <w:t>Deliberative phase</w:t>
      </w:r>
      <w:r w:rsidR="00965E1D">
        <w:rPr>
          <w:b/>
          <w:color w:val="0B5484" w:themeColor="accent1" w:themeShade="80"/>
          <w:sz w:val="24"/>
          <w:szCs w:val="24"/>
        </w:rPr>
        <w:t>:</w:t>
      </w:r>
      <w:r w:rsidRPr="0049609F">
        <w:rPr>
          <w:sz w:val="24"/>
          <w:szCs w:val="24"/>
        </w:rPr>
        <w:t xml:space="preserve"> Aided by impartial facilitators and recorders, participants then engage in small group face-to-face deliberation where they reconsider their initial ideas on the topic in the light of the evidence and testimonies from the learning phase, but also with respect to the arguments and experiences of their fellow deliberators. </w:t>
      </w:r>
    </w:p>
    <w:p w:rsidR="0049609F" w:rsidRPr="0049609F" w:rsidRDefault="0049609F" w:rsidP="0049609F">
      <w:pPr>
        <w:numPr>
          <w:ilvl w:val="0"/>
          <w:numId w:val="2"/>
        </w:numPr>
        <w:jc w:val="both"/>
        <w:rPr>
          <w:sz w:val="24"/>
          <w:szCs w:val="24"/>
        </w:rPr>
      </w:pPr>
      <w:r w:rsidRPr="00965E1D">
        <w:rPr>
          <w:b/>
          <w:i/>
          <w:color w:val="0B5484" w:themeColor="accent1" w:themeShade="80"/>
          <w:sz w:val="24"/>
          <w:szCs w:val="24"/>
        </w:rPr>
        <w:t>Decision-making phase</w:t>
      </w:r>
      <w:r w:rsidR="00965E1D">
        <w:rPr>
          <w:b/>
          <w:color w:val="0B5484" w:themeColor="accent1" w:themeShade="80"/>
          <w:sz w:val="24"/>
          <w:szCs w:val="24"/>
        </w:rPr>
        <w:t>:</w:t>
      </w:r>
      <w:r w:rsidRPr="0049609F">
        <w:rPr>
          <w:sz w:val="24"/>
          <w:szCs w:val="24"/>
        </w:rPr>
        <w:t xml:space="preserve"> The learning and deliberative work from previous stages enables participants to engage in considered judgement and informed decision-making. Depending on the topic, and the type of mini-public, this may lead to a particular recommendation or decision, which must be articulated through reasoned arguments in the final report or statement. That is the case in consensus-oriented mini-publics such as Citizens’ Juries –which, like court juries, respond to a ‘charge’– as well as Consensus Conferences and Citizen Assemblies. In research-focussed mini-publics, such as Deliberative Polls, the aim is not to reach consensus, but to measure through pre- and post- surveys how citizens’ preferences may change through learning and deliberation.</w:t>
      </w:r>
    </w:p>
    <w:p w:rsidR="0049609F" w:rsidRPr="0049609F" w:rsidRDefault="00965E1D" w:rsidP="0049609F">
      <w:pPr>
        <w:numPr>
          <w:ilvl w:val="0"/>
          <w:numId w:val="2"/>
        </w:numPr>
        <w:jc w:val="both"/>
        <w:rPr>
          <w:sz w:val="24"/>
          <w:szCs w:val="24"/>
        </w:rPr>
      </w:pPr>
      <w:r>
        <w:rPr>
          <w:b/>
          <w:i/>
          <w:color w:val="0B5484" w:themeColor="accent1" w:themeShade="80"/>
          <w:sz w:val="24"/>
          <w:szCs w:val="24"/>
        </w:rPr>
        <w:t>Follow-</w:t>
      </w:r>
      <w:r w:rsidR="0049609F" w:rsidRPr="00965E1D">
        <w:rPr>
          <w:b/>
          <w:i/>
          <w:color w:val="0B5484" w:themeColor="accent1" w:themeShade="80"/>
          <w:sz w:val="24"/>
          <w:szCs w:val="24"/>
        </w:rPr>
        <w:t>up</w:t>
      </w:r>
      <w:r>
        <w:rPr>
          <w:b/>
          <w:color w:val="0B5484" w:themeColor="accent1" w:themeShade="80"/>
          <w:sz w:val="24"/>
          <w:szCs w:val="24"/>
        </w:rPr>
        <w:t>:</w:t>
      </w:r>
      <w:r w:rsidR="0049609F" w:rsidRPr="0049609F">
        <w:rPr>
          <w:sz w:val="24"/>
          <w:szCs w:val="24"/>
        </w:rPr>
        <w:t xml:space="preserve"> The focus in this stage is impact. Ideally, the mini-public has already been in the ‘public eye’ from its inception. One way to ensure impact is to involve key public figures and broadcasters in the process and Stewarding Committee. In this final stage, the outcomes and outputs of the mini-public are shared through all relevant networks, thus informing broader public deliberation and decision-making. </w:t>
      </w:r>
    </w:p>
    <w:p w:rsidR="0049609F" w:rsidRPr="00401C39" w:rsidRDefault="0049609F" w:rsidP="00401C39">
      <w:pPr>
        <w:jc w:val="both"/>
        <w:rPr>
          <w:sz w:val="24"/>
          <w:szCs w:val="24"/>
        </w:rPr>
      </w:pPr>
    </w:p>
    <w:p w:rsidR="00532FCD" w:rsidRPr="00965E1D" w:rsidRDefault="00532FCD" w:rsidP="00401C39">
      <w:pPr>
        <w:jc w:val="both"/>
        <w:rPr>
          <w:b/>
          <w:color w:val="0B5484" w:themeColor="accent1" w:themeShade="80"/>
          <w:sz w:val="28"/>
          <w:szCs w:val="28"/>
        </w:rPr>
      </w:pPr>
      <w:r w:rsidRPr="00965E1D">
        <w:rPr>
          <w:b/>
          <w:color w:val="0B5484" w:themeColor="accent1" w:themeShade="80"/>
          <w:sz w:val="28"/>
          <w:szCs w:val="28"/>
        </w:rPr>
        <w:t>Experts and Evidence</w:t>
      </w:r>
    </w:p>
    <w:p w:rsidR="00532FCD" w:rsidRPr="00532FCD" w:rsidRDefault="00532FCD" w:rsidP="00532FCD">
      <w:pPr>
        <w:jc w:val="both"/>
        <w:rPr>
          <w:sz w:val="24"/>
          <w:szCs w:val="24"/>
        </w:rPr>
      </w:pPr>
      <w:r w:rsidRPr="00532FCD">
        <w:rPr>
          <w:sz w:val="24"/>
          <w:szCs w:val="24"/>
        </w:rPr>
        <w:t xml:space="preserve">The role of experts and evidence in the mini-public process is a particularly significant factor (Roberts &amp; Lightbody 2017). For example, </w:t>
      </w:r>
      <w:r w:rsidRPr="00532FCD">
        <w:rPr>
          <w:sz w:val="24"/>
          <w:szCs w:val="24"/>
          <w:lang w:val="en-US"/>
        </w:rPr>
        <w:t>the number and type of experts, how they are identified and chosen, and the way in which the evidence is presented can have consequences for how the citizen sample engages with the evidence.</w:t>
      </w:r>
      <w:r w:rsidRPr="00532FCD">
        <w:rPr>
          <w:sz w:val="24"/>
          <w:szCs w:val="24"/>
        </w:rPr>
        <w:t xml:space="preserve"> </w:t>
      </w:r>
    </w:p>
    <w:p w:rsidR="00532FCD" w:rsidRPr="00532FCD" w:rsidRDefault="00532FCD" w:rsidP="00532FCD">
      <w:pPr>
        <w:jc w:val="both"/>
        <w:rPr>
          <w:sz w:val="24"/>
          <w:szCs w:val="24"/>
        </w:rPr>
      </w:pPr>
      <w:r w:rsidRPr="00532FCD">
        <w:rPr>
          <w:sz w:val="24"/>
          <w:szCs w:val="24"/>
          <w:lang w:val="en-US"/>
        </w:rPr>
        <w:t>Those who provide expert evidence to mini-publics tend to come from the academic, legal, medical and/or public policy arenas.</w:t>
      </w:r>
      <w:r w:rsidR="00C9021F">
        <w:rPr>
          <w:sz w:val="24"/>
          <w:szCs w:val="24"/>
          <w:lang w:val="en-US"/>
        </w:rPr>
        <w:t xml:space="preserve"> They are often scientists, academics, government employees, interest group members or community activists (Carson</w:t>
      </w:r>
      <w:r w:rsidR="00230970">
        <w:rPr>
          <w:sz w:val="24"/>
          <w:szCs w:val="24"/>
          <w:lang w:val="en-US"/>
        </w:rPr>
        <w:t xml:space="preserve"> and </w:t>
      </w:r>
      <w:proofErr w:type="spellStart"/>
      <w:r w:rsidR="00230970">
        <w:rPr>
          <w:sz w:val="24"/>
          <w:szCs w:val="24"/>
          <w:lang w:val="en-US"/>
        </w:rPr>
        <w:t>Shecter</w:t>
      </w:r>
      <w:proofErr w:type="spellEnd"/>
      <w:r w:rsidR="00C9021F">
        <w:rPr>
          <w:sz w:val="24"/>
          <w:szCs w:val="24"/>
          <w:lang w:val="en-US"/>
        </w:rPr>
        <w:t xml:space="preserve"> 2017). </w:t>
      </w:r>
      <w:proofErr w:type="spellStart"/>
      <w:r w:rsidRPr="00532FCD">
        <w:rPr>
          <w:sz w:val="24"/>
          <w:szCs w:val="24"/>
        </w:rPr>
        <w:t>Lansdell</w:t>
      </w:r>
      <w:proofErr w:type="spellEnd"/>
      <w:r w:rsidRPr="00532FCD">
        <w:rPr>
          <w:sz w:val="24"/>
          <w:szCs w:val="24"/>
        </w:rPr>
        <w:t xml:space="preserve"> (2011) identifies four different categories of witness: </w:t>
      </w:r>
    </w:p>
    <w:p w:rsidR="00532FCD" w:rsidRPr="00532FCD" w:rsidRDefault="00532FCD" w:rsidP="00532FCD">
      <w:pPr>
        <w:numPr>
          <w:ilvl w:val="0"/>
          <w:numId w:val="3"/>
        </w:numPr>
        <w:jc w:val="both"/>
        <w:rPr>
          <w:sz w:val="24"/>
          <w:szCs w:val="24"/>
        </w:rPr>
      </w:pPr>
      <w:r w:rsidRPr="00965E1D">
        <w:rPr>
          <w:b/>
          <w:i/>
          <w:iCs/>
          <w:color w:val="0B5484" w:themeColor="accent1" w:themeShade="80"/>
          <w:sz w:val="24"/>
          <w:szCs w:val="24"/>
        </w:rPr>
        <w:t>Knowledge experts</w:t>
      </w:r>
      <w:r w:rsidRPr="00532FCD">
        <w:rPr>
          <w:sz w:val="24"/>
          <w:szCs w:val="24"/>
        </w:rPr>
        <w:t xml:space="preserve">: </w:t>
      </w:r>
      <w:r w:rsidR="00A657A6">
        <w:rPr>
          <w:sz w:val="24"/>
          <w:szCs w:val="24"/>
        </w:rPr>
        <w:t>those</w:t>
      </w:r>
      <w:r w:rsidRPr="00532FCD">
        <w:rPr>
          <w:sz w:val="24"/>
          <w:szCs w:val="24"/>
        </w:rPr>
        <w:t xml:space="preserve"> with specialist scientific, technical or legal knowledge </w:t>
      </w:r>
      <w:r w:rsidR="00A657A6">
        <w:rPr>
          <w:sz w:val="24"/>
          <w:szCs w:val="24"/>
        </w:rPr>
        <w:t>who</w:t>
      </w:r>
      <w:r w:rsidRPr="00532FCD">
        <w:rPr>
          <w:sz w:val="24"/>
          <w:szCs w:val="24"/>
        </w:rPr>
        <w:t xml:space="preserve"> provide </w:t>
      </w:r>
      <w:r w:rsidR="00A657A6">
        <w:rPr>
          <w:sz w:val="24"/>
          <w:szCs w:val="24"/>
        </w:rPr>
        <w:t xml:space="preserve">essential </w:t>
      </w:r>
      <w:r w:rsidRPr="00532FCD">
        <w:rPr>
          <w:sz w:val="24"/>
          <w:szCs w:val="24"/>
        </w:rPr>
        <w:t>information</w:t>
      </w:r>
      <w:r w:rsidR="00A657A6">
        <w:rPr>
          <w:sz w:val="24"/>
          <w:szCs w:val="24"/>
        </w:rPr>
        <w:t xml:space="preserve"> on the topic</w:t>
      </w:r>
      <w:r w:rsidRPr="00532FCD">
        <w:rPr>
          <w:sz w:val="24"/>
          <w:szCs w:val="24"/>
        </w:rPr>
        <w:t xml:space="preserve">. </w:t>
      </w:r>
    </w:p>
    <w:p w:rsidR="00532FCD" w:rsidRPr="00532FCD" w:rsidRDefault="00532FCD" w:rsidP="00532FCD">
      <w:pPr>
        <w:numPr>
          <w:ilvl w:val="0"/>
          <w:numId w:val="3"/>
        </w:numPr>
        <w:jc w:val="both"/>
        <w:rPr>
          <w:sz w:val="24"/>
          <w:szCs w:val="24"/>
        </w:rPr>
      </w:pPr>
      <w:r w:rsidRPr="00965E1D">
        <w:rPr>
          <w:b/>
          <w:i/>
          <w:iCs/>
          <w:color w:val="0B5484" w:themeColor="accent1" w:themeShade="80"/>
          <w:sz w:val="24"/>
          <w:szCs w:val="24"/>
        </w:rPr>
        <w:t>Stakeholder</w:t>
      </w:r>
      <w:r w:rsidRPr="00965E1D">
        <w:rPr>
          <w:b/>
          <w:color w:val="0B5484" w:themeColor="accent1" w:themeShade="80"/>
          <w:sz w:val="24"/>
          <w:szCs w:val="24"/>
        </w:rPr>
        <w:t>s</w:t>
      </w:r>
      <w:r w:rsidRPr="00532FCD">
        <w:rPr>
          <w:sz w:val="24"/>
          <w:szCs w:val="24"/>
        </w:rPr>
        <w:t xml:space="preserve">: representatives from </w:t>
      </w:r>
      <w:r w:rsidR="00A657A6">
        <w:rPr>
          <w:sz w:val="24"/>
          <w:szCs w:val="24"/>
        </w:rPr>
        <w:t xml:space="preserve">advocates of a certain position on the issue e.g.  </w:t>
      </w:r>
      <w:r w:rsidRPr="00532FCD">
        <w:rPr>
          <w:sz w:val="24"/>
          <w:szCs w:val="24"/>
        </w:rPr>
        <w:t xml:space="preserve">lobbying or interest groups. </w:t>
      </w:r>
    </w:p>
    <w:p w:rsidR="00532FCD" w:rsidRPr="00532FCD" w:rsidRDefault="00532FCD" w:rsidP="00532FCD">
      <w:pPr>
        <w:numPr>
          <w:ilvl w:val="0"/>
          <w:numId w:val="3"/>
        </w:numPr>
        <w:jc w:val="both"/>
        <w:rPr>
          <w:sz w:val="24"/>
          <w:szCs w:val="24"/>
        </w:rPr>
      </w:pPr>
      <w:r w:rsidRPr="00965E1D">
        <w:rPr>
          <w:b/>
          <w:i/>
          <w:iCs/>
          <w:color w:val="0B5484" w:themeColor="accent1" w:themeShade="80"/>
          <w:sz w:val="24"/>
          <w:szCs w:val="24"/>
        </w:rPr>
        <w:t>Experiential publics</w:t>
      </w:r>
      <w:r w:rsidRPr="00532FCD">
        <w:rPr>
          <w:sz w:val="24"/>
          <w:szCs w:val="24"/>
        </w:rPr>
        <w:t xml:space="preserve">: </w:t>
      </w:r>
      <w:r w:rsidR="00A657A6">
        <w:rPr>
          <w:sz w:val="24"/>
          <w:szCs w:val="24"/>
        </w:rPr>
        <w:t>those who have had particularly salient direct experiences of the issue at hand</w:t>
      </w:r>
      <w:r w:rsidRPr="00532FCD">
        <w:rPr>
          <w:sz w:val="24"/>
          <w:szCs w:val="24"/>
        </w:rPr>
        <w:t xml:space="preserve">. </w:t>
      </w:r>
    </w:p>
    <w:p w:rsidR="0077585D" w:rsidRPr="0077585D" w:rsidRDefault="00532FCD" w:rsidP="007F729A">
      <w:pPr>
        <w:numPr>
          <w:ilvl w:val="0"/>
          <w:numId w:val="3"/>
        </w:numPr>
        <w:jc w:val="both"/>
        <w:rPr>
          <w:sz w:val="24"/>
          <w:szCs w:val="24"/>
          <w:lang w:val="en-US"/>
        </w:rPr>
      </w:pPr>
      <w:r w:rsidRPr="00965E1D">
        <w:rPr>
          <w:b/>
          <w:i/>
          <w:iCs/>
          <w:color w:val="0B5484" w:themeColor="accent1" w:themeShade="80"/>
          <w:sz w:val="24"/>
          <w:szCs w:val="24"/>
        </w:rPr>
        <w:t>Representative publics</w:t>
      </w:r>
      <w:r w:rsidRPr="0077585D">
        <w:rPr>
          <w:i/>
          <w:iCs/>
          <w:sz w:val="24"/>
          <w:szCs w:val="24"/>
        </w:rPr>
        <w:t>:</w:t>
      </w:r>
      <w:r w:rsidR="00A657A6" w:rsidRPr="0077585D">
        <w:rPr>
          <w:i/>
          <w:iCs/>
          <w:sz w:val="24"/>
          <w:szCs w:val="24"/>
        </w:rPr>
        <w:t xml:space="preserve"> </w:t>
      </w:r>
      <w:r w:rsidR="00A657A6" w:rsidRPr="0077585D">
        <w:rPr>
          <w:iCs/>
          <w:sz w:val="24"/>
          <w:szCs w:val="24"/>
        </w:rPr>
        <w:t>represent a particular i</w:t>
      </w:r>
      <w:r w:rsidR="0077585D" w:rsidRPr="0077585D">
        <w:rPr>
          <w:iCs/>
          <w:sz w:val="24"/>
          <w:szCs w:val="24"/>
        </w:rPr>
        <w:t>dentity or feature from the broader public, but do not necessarily have a knowledge, experience or a view on the issue.</w:t>
      </w:r>
      <w:r w:rsidRPr="0077585D">
        <w:rPr>
          <w:i/>
          <w:iCs/>
          <w:sz w:val="24"/>
          <w:szCs w:val="24"/>
        </w:rPr>
        <w:t xml:space="preserve"> </w:t>
      </w:r>
    </w:p>
    <w:p w:rsidR="00532FCD" w:rsidRPr="0077585D" w:rsidRDefault="00532FCD" w:rsidP="0077585D">
      <w:pPr>
        <w:jc w:val="both"/>
        <w:rPr>
          <w:sz w:val="24"/>
          <w:szCs w:val="24"/>
          <w:lang w:val="en-US"/>
        </w:rPr>
      </w:pPr>
      <w:r w:rsidRPr="0077585D">
        <w:rPr>
          <w:sz w:val="24"/>
          <w:szCs w:val="24"/>
          <w:lang w:val="en-US"/>
        </w:rPr>
        <w:lastRenderedPageBreak/>
        <w:t xml:space="preserve">Therefore, the role of experts in mini-publics can also vary. They can be used to provide context such as background information, communicate their experience in a specific area or field of work, to represent stakeholders, or because of their view on an issue </w:t>
      </w:r>
      <w:r w:rsidRPr="0077585D">
        <w:rPr>
          <w:sz w:val="24"/>
          <w:szCs w:val="24"/>
        </w:rPr>
        <w:t xml:space="preserve">(Roberts &amp; Lightbody 2017). </w:t>
      </w:r>
    </w:p>
    <w:p w:rsidR="00D82D3C" w:rsidRDefault="00532FCD" w:rsidP="00532FCD">
      <w:pPr>
        <w:jc w:val="both"/>
        <w:rPr>
          <w:sz w:val="24"/>
          <w:szCs w:val="24"/>
          <w:lang w:val="en-US"/>
        </w:rPr>
      </w:pPr>
      <w:r w:rsidRPr="00532FCD">
        <w:rPr>
          <w:sz w:val="24"/>
          <w:szCs w:val="24"/>
        </w:rPr>
        <w:t>Experts act as a</w:t>
      </w:r>
      <w:r w:rsidR="0077585D">
        <w:rPr>
          <w:sz w:val="24"/>
          <w:szCs w:val="24"/>
        </w:rPr>
        <w:t xml:space="preserve">rbiters in mini-publics, </w:t>
      </w:r>
      <w:r w:rsidRPr="00532FCD">
        <w:rPr>
          <w:sz w:val="24"/>
          <w:szCs w:val="24"/>
        </w:rPr>
        <w:t xml:space="preserve">dealing with technical questions, </w:t>
      </w:r>
      <w:r w:rsidR="0077585D">
        <w:rPr>
          <w:sz w:val="24"/>
          <w:szCs w:val="24"/>
        </w:rPr>
        <w:t>providing information, or articulating a particular perspective. The aim is to</w:t>
      </w:r>
      <w:r w:rsidRPr="00532FCD">
        <w:rPr>
          <w:sz w:val="24"/>
          <w:szCs w:val="24"/>
        </w:rPr>
        <w:t xml:space="preserve"> facilitate</w:t>
      </w:r>
      <w:r w:rsidR="0077585D">
        <w:rPr>
          <w:sz w:val="24"/>
          <w:szCs w:val="24"/>
        </w:rPr>
        <w:t xml:space="preserve"> informed and balanced</w:t>
      </w:r>
      <w:r w:rsidRPr="00532FCD">
        <w:rPr>
          <w:sz w:val="24"/>
          <w:szCs w:val="24"/>
        </w:rPr>
        <w:t xml:space="preserve"> deliberation</w:t>
      </w:r>
      <w:r w:rsidR="001E414F">
        <w:rPr>
          <w:sz w:val="24"/>
          <w:szCs w:val="24"/>
        </w:rPr>
        <w:t xml:space="preserve"> amongst the mini-public members. Consequently, ‘neutral’ witnesses</w:t>
      </w:r>
      <w:r w:rsidRPr="00532FCD">
        <w:rPr>
          <w:sz w:val="24"/>
          <w:szCs w:val="24"/>
        </w:rPr>
        <w:t xml:space="preserve"> </w:t>
      </w:r>
      <w:r w:rsidR="001E414F">
        <w:rPr>
          <w:sz w:val="24"/>
          <w:szCs w:val="24"/>
        </w:rPr>
        <w:t xml:space="preserve">that take no particular side on the issue are desired </w:t>
      </w:r>
      <w:r w:rsidR="00965E1D">
        <w:rPr>
          <w:sz w:val="24"/>
          <w:szCs w:val="24"/>
        </w:rPr>
        <w:t>but</w:t>
      </w:r>
      <w:r w:rsidR="001E414F">
        <w:rPr>
          <w:sz w:val="24"/>
          <w:szCs w:val="24"/>
        </w:rPr>
        <w:t xml:space="preserve"> can be hard to find</w:t>
      </w:r>
      <w:r w:rsidR="00965E1D">
        <w:rPr>
          <w:sz w:val="24"/>
          <w:szCs w:val="24"/>
        </w:rPr>
        <w:t>,</w:t>
      </w:r>
      <w:r w:rsidR="001E414F">
        <w:rPr>
          <w:sz w:val="24"/>
          <w:szCs w:val="24"/>
        </w:rPr>
        <w:t xml:space="preserve"> especially</w:t>
      </w:r>
      <w:r w:rsidRPr="001E414F">
        <w:rPr>
          <w:b/>
          <w:sz w:val="24"/>
          <w:szCs w:val="24"/>
        </w:rPr>
        <w:t xml:space="preserve"> </w:t>
      </w:r>
      <w:r w:rsidRPr="001E414F">
        <w:rPr>
          <w:sz w:val="24"/>
          <w:szCs w:val="24"/>
        </w:rPr>
        <w:t>when ‘the issue involves extensive political controversy and scientific uncertainty’ as experts lose neutrality i</w:t>
      </w:r>
      <w:r w:rsidR="00965E1D">
        <w:rPr>
          <w:sz w:val="24"/>
          <w:szCs w:val="24"/>
        </w:rPr>
        <w:t>n these situations (Elstub 2014</w:t>
      </w:r>
      <w:r w:rsidRPr="001E414F">
        <w:rPr>
          <w:sz w:val="24"/>
          <w:szCs w:val="24"/>
        </w:rPr>
        <w:t xml:space="preserve">). In such circumstances, it becomes imperative that mini-publics have experts with </w:t>
      </w:r>
      <w:r w:rsidR="001E414F" w:rsidRPr="001E414F">
        <w:rPr>
          <w:sz w:val="24"/>
          <w:szCs w:val="24"/>
        </w:rPr>
        <w:t xml:space="preserve">a diversity of </w:t>
      </w:r>
      <w:r w:rsidRPr="001E414F">
        <w:rPr>
          <w:sz w:val="24"/>
          <w:szCs w:val="24"/>
        </w:rPr>
        <w:t>political views.</w:t>
      </w:r>
      <w:r w:rsidRPr="00532FCD">
        <w:rPr>
          <w:sz w:val="24"/>
          <w:szCs w:val="24"/>
        </w:rPr>
        <w:t xml:space="preserve"> </w:t>
      </w:r>
      <w:r w:rsidR="000B08BB" w:rsidRPr="000B08BB">
        <w:rPr>
          <w:sz w:val="24"/>
          <w:szCs w:val="24"/>
        </w:rPr>
        <w:t xml:space="preserve">Experts can be selected by the mini-public’s commissioning authority, an advisory group (ideally made up of a diverse range of interests and opinions relevant to the issue) that oversees the organisation of the mini-public, </w:t>
      </w:r>
      <w:r w:rsidR="000B08BB" w:rsidRPr="000B08BB">
        <w:rPr>
          <w:sz w:val="24"/>
          <w:szCs w:val="24"/>
          <w:lang w:val="en-US"/>
        </w:rPr>
        <w:t xml:space="preserve">or the citizens participating in the mini-public (Harris forthcoming 2018). </w:t>
      </w:r>
    </w:p>
    <w:p w:rsidR="005D584B" w:rsidRDefault="00532FCD" w:rsidP="00532FCD">
      <w:pPr>
        <w:jc w:val="both"/>
        <w:rPr>
          <w:sz w:val="24"/>
          <w:szCs w:val="24"/>
          <w:lang w:val="en-US"/>
        </w:rPr>
      </w:pPr>
      <w:r w:rsidRPr="00532FCD">
        <w:rPr>
          <w:sz w:val="24"/>
          <w:szCs w:val="24"/>
          <w:lang w:val="en-US"/>
        </w:rPr>
        <w:t>There are also a number of options for how evidence provision can be organized in mini-publics</w:t>
      </w:r>
      <w:r w:rsidR="00E15E9B">
        <w:rPr>
          <w:sz w:val="24"/>
          <w:szCs w:val="24"/>
          <w:lang w:val="en-US"/>
        </w:rPr>
        <w:t>. In addition to witnesses sessions mini-publics routinely provide briefing materials</w:t>
      </w:r>
      <w:r w:rsidR="000F6E9D">
        <w:rPr>
          <w:sz w:val="24"/>
          <w:szCs w:val="24"/>
          <w:lang w:val="en-US"/>
        </w:rPr>
        <w:t xml:space="preserve"> for the participants. Therefore, there</w:t>
      </w:r>
      <w:r w:rsidR="00965E1D">
        <w:rPr>
          <w:sz w:val="24"/>
          <w:szCs w:val="24"/>
          <w:lang w:val="en-US"/>
        </w:rPr>
        <w:t xml:space="preserve"> are</w:t>
      </w:r>
      <w:r w:rsidR="000F6E9D">
        <w:rPr>
          <w:sz w:val="24"/>
          <w:szCs w:val="24"/>
          <w:lang w:val="en-US"/>
        </w:rPr>
        <w:t xml:space="preserve"> a number of different elements to the provision of evidence in mini-publics </w:t>
      </w:r>
      <w:r w:rsidR="00E15E9B">
        <w:rPr>
          <w:sz w:val="24"/>
          <w:szCs w:val="24"/>
          <w:lang w:val="en-US"/>
        </w:rPr>
        <w:t xml:space="preserve"> </w:t>
      </w:r>
      <w:r w:rsidRPr="00532FCD">
        <w:rPr>
          <w:sz w:val="24"/>
          <w:szCs w:val="24"/>
          <w:lang w:val="en-US"/>
        </w:rPr>
        <w:t xml:space="preserve"> e.g. nature of briefing materials, the number of witness sessions, time allowed for presentation and discussion, and the degree and nature of the interaction between experts and the citizen sample. </w:t>
      </w:r>
      <w:r w:rsidR="000F6E9D">
        <w:rPr>
          <w:sz w:val="24"/>
          <w:szCs w:val="24"/>
          <w:lang w:val="en-US"/>
        </w:rPr>
        <w:t xml:space="preserve">With respect to the latter, usually mini-public </w:t>
      </w:r>
      <w:r w:rsidRPr="00532FCD">
        <w:rPr>
          <w:sz w:val="24"/>
          <w:szCs w:val="24"/>
          <w:lang w:val="en-US"/>
        </w:rPr>
        <w:t xml:space="preserve">participants </w:t>
      </w:r>
      <w:r w:rsidR="000F6E9D">
        <w:rPr>
          <w:sz w:val="24"/>
          <w:szCs w:val="24"/>
          <w:lang w:val="en-US"/>
        </w:rPr>
        <w:t>are</w:t>
      </w:r>
      <w:r w:rsidRPr="00532FCD">
        <w:rPr>
          <w:sz w:val="24"/>
          <w:szCs w:val="24"/>
          <w:lang w:val="en-US"/>
        </w:rPr>
        <w:t xml:space="preserve"> given the opportunity to question </w:t>
      </w:r>
      <w:r w:rsidR="000F6E9D">
        <w:rPr>
          <w:sz w:val="24"/>
          <w:szCs w:val="24"/>
          <w:lang w:val="en-US"/>
        </w:rPr>
        <w:t>t</w:t>
      </w:r>
      <w:r w:rsidR="00EF5D46">
        <w:rPr>
          <w:sz w:val="24"/>
          <w:szCs w:val="24"/>
          <w:lang w:val="en-US"/>
        </w:rPr>
        <w:t>he experts, which the witnesses can find quite challenging</w:t>
      </w:r>
      <w:r w:rsidR="000272E0">
        <w:rPr>
          <w:sz w:val="24"/>
          <w:szCs w:val="24"/>
          <w:lang w:val="en-US"/>
        </w:rPr>
        <w:t xml:space="preserve">, due to the veracity of the questions posed </w:t>
      </w:r>
      <w:r w:rsidR="00EF5D46">
        <w:rPr>
          <w:sz w:val="24"/>
          <w:szCs w:val="24"/>
          <w:lang w:val="en-US"/>
        </w:rPr>
        <w:t>(</w:t>
      </w:r>
      <w:proofErr w:type="spellStart"/>
      <w:r w:rsidR="00EF5D46">
        <w:rPr>
          <w:sz w:val="24"/>
          <w:szCs w:val="24"/>
          <w:lang w:val="en-US"/>
        </w:rPr>
        <w:t>Gastil</w:t>
      </w:r>
      <w:proofErr w:type="spellEnd"/>
      <w:r w:rsidR="00EF5D46">
        <w:rPr>
          <w:sz w:val="24"/>
          <w:szCs w:val="24"/>
          <w:lang w:val="en-US"/>
        </w:rPr>
        <w:t xml:space="preserve"> et al. 2015).</w:t>
      </w:r>
      <w:r w:rsidR="000272E0">
        <w:rPr>
          <w:sz w:val="24"/>
          <w:szCs w:val="24"/>
          <w:lang w:val="en-US"/>
        </w:rPr>
        <w:t xml:space="preserve"> </w:t>
      </w:r>
      <w:proofErr w:type="spellStart"/>
      <w:r w:rsidR="000272E0">
        <w:rPr>
          <w:sz w:val="24"/>
          <w:szCs w:val="24"/>
          <w:lang w:val="en-US"/>
        </w:rPr>
        <w:t>Witnessess</w:t>
      </w:r>
      <w:proofErr w:type="spellEnd"/>
      <w:r w:rsidR="000272E0">
        <w:rPr>
          <w:sz w:val="24"/>
          <w:szCs w:val="24"/>
          <w:lang w:val="en-US"/>
        </w:rPr>
        <w:t xml:space="preserve"> have also struggled to pitch their presentations at the right level as the mini-public participants are not experts on the topics, but through the process cease to be </w:t>
      </w:r>
      <w:r w:rsidR="00965E1D">
        <w:rPr>
          <w:sz w:val="24"/>
          <w:szCs w:val="24"/>
          <w:lang w:val="en-US"/>
        </w:rPr>
        <w:t>ignorant</w:t>
      </w:r>
      <w:r w:rsidR="000272E0">
        <w:rPr>
          <w:sz w:val="24"/>
          <w:szCs w:val="24"/>
          <w:lang w:val="en-US"/>
        </w:rPr>
        <w:t xml:space="preserve"> too </w:t>
      </w:r>
      <w:r w:rsidR="005D584B" w:rsidRPr="005D584B">
        <w:rPr>
          <w:sz w:val="24"/>
          <w:szCs w:val="24"/>
          <w:lang w:val="en-US"/>
        </w:rPr>
        <w:t>(</w:t>
      </w:r>
      <w:proofErr w:type="spellStart"/>
      <w:r w:rsidR="005D584B" w:rsidRPr="005D584B">
        <w:rPr>
          <w:sz w:val="24"/>
          <w:szCs w:val="24"/>
          <w:lang w:val="en-US"/>
        </w:rPr>
        <w:t>Gastil</w:t>
      </w:r>
      <w:proofErr w:type="spellEnd"/>
      <w:r w:rsidR="005D584B" w:rsidRPr="005D584B">
        <w:rPr>
          <w:sz w:val="24"/>
          <w:szCs w:val="24"/>
          <w:lang w:val="en-US"/>
        </w:rPr>
        <w:t xml:space="preserve"> et al. 2015). </w:t>
      </w:r>
      <w:r w:rsidR="00EF5D46">
        <w:rPr>
          <w:sz w:val="24"/>
          <w:szCs w:val="24"/>
          <w:lang w:val="en-US"/>
        </w:rPr>
        <w:t xml:space="preserve"> </w:t>
      </w:r>
    </w:p>
    <w:p w:rsidR="00FB0578" w:rsidRDefault="00EF5D46" w:rsidP="00532FCD">
      <w:pPr>
        <w:jc w:val="both"/>
        <w:rPr>
          <w:sz w:val="24"/>
          <w:szCs w:val="24"/>
        </w:rPr>
      </w:pPr>
      <w:r>
        <w:rPr>
          <w:sz w:val="24"/>
          <w:szCs w:val="24"/>
          <w:lang w:val="en-US"/>
        </w:rPr>
        <w:t>T</w:t>
      </w:r>
      <w:r w:rsidR="000F6E9D">
        <w:rPr>
          <w:sz w:val="24"/>
          <w:szCs w:val="24"/>
          <w:lang w:val="en-US"/>
        </w:rPr>
        <w:t>here are different formats available</w:t>
      </w:r>
      <w:r>
        <w:rPr>
          <w:sz w:val="24"/>
          <w:szCs w:val="24"/>
          <w:lang w:val="en-US"/>
        </w:rPr>
        <w:t xml:space="preserve"> for interaction with witnesses in mini-publics</w:t>
      </w:r>
      <w:r w:rsidR="000F6E9D">
        <w:rPr>
          <w:sz w:val="24"/>
          <w:szCs w:val="24"/>
          <w:lang w:val="en-US"/>
        </w:rPr>
        <w:t>. L</w:t>
      </w:r>
      <w:r w:rsidR="00532FCD" w:rsidRPr="00532FCD">
        <w:rPr>
          <w:sz w:val="24"/>
          <w:szCs w:val="24"/>
          <w:lang w:val="en-US"/>
        </w:rPr>
        <w:t>arger mini-publics</w:t>
      </w:r>
      <w:r w:rsidR="000F6E9D">
        <w:rPr>
          <w:sz w:val="24"/>
          <w:szCs w:val="24"/>
          <w:lang w:val="en-US"/>
        </w:rPr>
        <w:t xml:space="preserve"> </w:t>
      </w:r>
      <w:r>
        <w:rPr>
          <w:sz w:val="24"/>
          <w:szCs w:val="24"/>
          <w:lang w:val="en-US"/>
        </w:rPr>
        <w:t xml:space="preserve">often </w:t>
      </w:r>
      <w:r w:rsidR="000F6E9D">
        <w:rPr>
          <w:sz w:val="24"/>
          <w:szCs w:val="24"/>
          <w:lang w:val="en-US"/>
        </w:rPr>
        <w:t>use</w:t>
      </w:r>
      <w:r w:rsidR="00532FCD" w:rsidRPr="00532FCD">
        <w:rPr>
          <w:sz w:val="24"/>
          <w:szCs w:val="24"/>
          <w:lang w:val="en-US"/>
        </w:rPr>
        <w:t xml:space="preserve"> plenary sessions </w:t>
      </w:r>
      <w:r w:rsidR="000F6E9D">
        <w:rPr>
          <w:sz w:val="24"/>
          <w:szCs w:val="24"/>
          <w:lang w:val="en-US"/>
        </w:rPr>
        <w:t>with a panel of experts. Smaller ones tend to have sequential, individual presentations an</w:t>
      </w:r>
      <w:r w:rsidR="0049767C">
        <w:rPr>
          <w:sz w:val="24"/>
          <w:szCs w:val="24"/>
          <w:lang w:val="en-US"/>
        </w:rPr>
        <w:t>d questions and an</w:t>
      </w:r>
      <w:r w:rsidR="00C71ADC">
        <w:rPr>
          <w:sz w:val="24"/>
          <w:szCs w:val="24"/>
          <w:lang w:val="en-US"/>
        </w:rPr>
        <w:t xml:space="preserve">swer sessions, often set-up as </w:t>
      </w:r>
      <w:r w:rsidR="00175860">
        <w:rPr>
          <w:sz w:val="24"/>
          <w:szCs w:val="24"/>
          <w:lang w:val="en-US"/>
        </w:rPr>
        <w:t>‘pro and con’ debate</w:t>
      </w:r>
      <w:r w:rsidR="0049767C">
        <w:rPr>
          <w:sz w:val="24"/>
          <w:szCs w:val="24"/>
          <w:lang w:val="en-US"/>
        </w:rPr>
        <w:t xml:space="preserve"> (</w:t>
      </w:r>
      <w:r w:rsidR="00175860" w:rsidRPr="0077585D">
        <w:rPr>
          <w:sz w:val="24"/>
          <w:szCs w:val="24"/>
        </w:rPr>
        <w:t>Roberts &amp; Lightbody 2017</w:t>
      </w:r>
      <w:r w:rsidR="0049767C">
        <w:rPr>
          <w:sz w:val="24"/>
          <w:szCs w:val="24"/>
          <w:lang w:val="en-US"/>
        </w:rPr>
        <w:t>).</w:t>
      </w:r>
      <w:r w:rsidR="000F6E9D">
        <w:rPr>
          <w:sz w:val="24"/>
          <w:szCs w:val="24"/>
          <w:lang w:val="en-US"/>
        </w:rPr>
        <w:t xml:space="preserve"> I</w:t>
      </w:r>
      <w:r w:rsidR="00532FCD" w:rsidRPr="00532FCD">
        <w:rPr>
          <w:sz w:val="24"/>
          <w:szCs w:val="24"/>
          <w:lang w:val="en-US"/>
        </w:rPr>
        <w:t xml:space="preserve">n some </w:t>
      </w:r>
      <w:r w:rsidR="00175860" w:rsidRPr="00532FCD">
        <w:rPr>
          <w:sz w:val="24"/>
          <w:szCs w:val="24"/>
          <w:lang w:val="en-US"/>
        </w:rPr>
        <w:t>cases,</w:t>
      </w:r>
      <w:r w:rsidR="00532FCD" w:rsidRPr="00532FCD">
        <w:rPr>
          <w:sz w:val="24"/>
          <w:szCs w:val="24"/>
          <w:lang w:val="en-US"/>
        </w:rPr>
        <w:t xml:space="preserve"> experts join </w:t>
      </w:r>
      <w:r w:rsidR="000F6E9D">
        <w:rPr>
          <w:sz w:val="24"/>
          <w:szCs w:val="24"/>
          <w:lang w:val="en-US"/>
        </w:rPr>
        <w:t>the participants in their small group discussions</w:t>
      </w:r>
      <w:r w:rsidR="00532FCD" w:rsidRPr="00532FCD">
        <w:rPr>
          <w:sz w:val="24"/>
          <w:szCs w:val="24"/>
          <w:lang w:val="en-US"/>
        </w:rPr>
        <w:t>, for example Ireland’s Convention on the Co</w:t>
      </w:r>
      <w:r w:rsidR="000F6E9D">
        <w:rPr>
          <w:sz w:val="24"/>
          <w:szCs w:val="24"/>
          <w:lang w:val="en-US"/>
        </w:rPr>
        <w:t xml:space="preserve">nstitution </w:t>
      </w:r>
      <w:r w:rsidR="00532FCD" w:rsidRPr="00532FCD">
        <w:rPr>
          <w:sz w:val="24"/>
          <w:szCs w:val="24"/>
          <w:lang w:val="en-US"/>
        </w:rPr>
        <w:t>(Harris forthcoming 2018).</w:t>
      </w:r>
      <w:r w:rsidR="00401C39" w:rsidRPr="00532FCD">
        <w:rPr>
          <w:sz w:val="24"/>
          <w:szCs w:val="24"/>
        </w:rPr>
        <w:t xml:space="preserve"> </w:t>
      </w:r>
    </w:p>
    <w:p w:rsidR="00E26C75" w:rsidRDefault="00EF5D46" w:rsidP="00532FCD">
      <w:pPr>
        <w:jc w:val="both"/>
        <w:rPr>
          <w:sz w:val="24"/>
          <w:szCs w:val="24"/>
        </w:rPr>
      </w:pPr>
      <w:r>
        <w:rPr>
          <w:sz w:val="24"/>
          <w:szCs w:val="24"/>
        </w:rPr>
        <w:t>Having given an overview here of different types of mini-public, witnesses and evidence provision w</w:t>
      </w:r>
      <w:r w:rsidR="00E26C75">
        <w:rPr>
          <w:sz w:val="24"/>
          <w:szCs w:val="24"/>
        </w:rPr>
        <w:t>e now move to outline the methods and approach adopted in this study</w:t>
      </w:r>
      <w:r>
        <w:rPr>
          <w:sz w:val="24"/>
          <w:szCs w:val="24"/>
        </w:rPr>
        <w:t xml:space="preserve"> to analyse the importance of these features to the relationship between mini-publics and evidence uptake</w:t>
      </w:r>
      <w:r w:rsidR="00E26C75">
        <w:rPr>
          <w:sz w:val="24"/>
          <w:szCs w:val="24"/>
        </w:rPr>
        <w:t>.</w:t>
      </w:r>
    </w:p>
    <w:p w:rsidR="00E26C75" w:rsidRDefault="00E26C75" w:rsidP="00532FCD">
      <w:pPr>
        <w:jc w:val="both"/>
        <w:rPr>
          <w:sz w:val="24"/>
          <w:szCs w:val="24"/>
        </w:rPr>
      </w:pPr>
    </w:p>
    <w:p w:rsidR="00E26C75" w:rsidRDefault="00E26C75" w:rsidP="00532FCD">
      <w:pPr>
        <w:jc w:val="both"/>
        <w:rPr>
          <w:sz w:val="24"/>
          <w:szCs w:val="24"/>
        </w:rPr>
      </w:pPr>
    </w:p>
    <w:p w:rsidR="00E26C75" w:rsidRDefault="00E26C75" w:rsidP="00532FCD">
      <w:pPr>
        <w:jc w:val="both"/>
        <w:rPr>
          <w:sz w:val="24"/>
          <w:szCs w:val="24"/>
        </w:rPr>
      </w:pPr>
    </w:p>
    <w:p w:rsidR="00175860" w:rsidRDefault="00175860" w:rsidP="00532FCD">
      <w:pPr>
        <w:jc w:val="both"/>
        <w:rPr>
          <w:sz w:val="24"/>
          <w:szCs w:val="24"/>
        </w:rPr>
      </w:pPr>
    </w:p>
    <w:p w:rsidR="00175860" w:rsidRDefault="00175860" w:rsidP="00532FCD">
      <w:pPr>
        <w:jc w:val="both"/>
        <w:rPr>
          <w:sz w:val="24"/>
          <w:szCs w:val="24"/>
        </w:rPr>
      </w:pPr>
    </w:p>
    <w:p w:rsidR="00175860" w:rsidRDefault="00175860" w:rsidP="00532FCD">
      <w:pPr>
        <w:jc w:val="both"/>
        <w:rPr>
          <w:sz w:val="24"/>
          <w:szCs w:val="24"/>
        </w:rPr>
      </w:pPr>
    </w:p>
    <w:p w:rsidR="00175860" w:rsidRDefault="00175860" w:rsidP="00532FCD">
      <w:pPr>
        <w:jc w:val="both"/>
        <w:rPr>
          <w:sz w:val="24"/>
          <w:szCs w:val="24"/>
        </w:rPr>
      </w:pPr>
    </w:p>
    <w:p w:rsidR="00175860" w:rsidRDefault="00175860" w:rsidP="00E26C75">
      <w:pPr>
        <w:jc w:val="both"/>
        <w:rPr>
          <w:b/>
          <w:color w:val="0B5484" w:themeColor="accent1" w:themeShade="80"/>
          <w:sz w:val="36"/>
          <w:szCs w:val="36"/>
        </w:rPr>
      </w:pPr>
    </w:p>
    <w:p w:rsidR="00964FCF" w:rsidRDefault="00964FCF" w:rsidP="00E26C75">
      <w:pPr>
        <w:jc w:val="both"/>
        <w:rPr>
          <w:b/>
          <w:color w:val="0B5484" w:themeColor="accent1" w:themeShade="80"/>
          <w:sz w:val="36"/>
          <w:szCs w:val="36"/>
        </w:rPr>
      </w:pPr>
    </w:p>
    <w:p w:rsidR="00964FCF" w:rsidRDefault="00964FCF" w:rsidP="00E26C75">
      <w:pPr>
        <w:jc w:val="both"/>
        <w:rPr>
          <w:b/>
          <w:color w:val="0B5484" w:themeColor="accent1" w:themeShade="80"/>
          <w:sz w:val="36"/>
          <w:szCs w:val="36"/>
        </w:rPr>
      </w:pPr>
    </w:p>
    <w:p w:rsidR="00E26C75" w:rsidRPr="004D5295" w:rsidRDefault="00E26C75" w:rsidP="00E26C75">
      <w:pPr>
        <w:jc w:val="both"/>
        <w:rPr>
          <w:b/>
          <w:color w:val="0B5484" w:themeColor="accent1" w:themeShade="80"/>
          <w:sz w:val="36"/>
          <w:szCs w:val="36"/>
        </w:rPr>
      </w:pPr>
      <w:r>
        <w:rPr>
          <w:b/>
          <w:color w:val="0B5484" w:themeColor="accent1" w:themeShade="80"/>
          <w:sz w:val="36"/>
          <w:szCs w:val="36"/>
        </w:rPr>
        <w:t>Methods and Approach</w:t>
      </w:r>
    </w:p>
    <w:p w:rsidR="00A73D15" w:rsidRDefault="00E26C75" w:rsidP="00E26C75">
      <w:pPr>
        <w:rPr>
          <w:sz w:val="24"/>
          <w:szCs w:val="24"/>
          <w:lang w:val="en-US"/>
        </w:rPr>
      </w:pPr>
      <w:r w:rsidRPr="00E26C75">
        <w:rPr>
          <w:sz w:val="24"/>
          <w:szCs w:val="24"/>
          <w:lang w:val="en-US"/>
        </w:rPr>
        <w:t>This section provides an overview of the methods and general approach a</w:t>
      </w:r>
      <w:r>
        <w:rPr>
          <w:sz w:val="24"/>
          <w:szCs w:val="24"/>
          <w:lang w:val="en-US"/>
        </w:rPr>
        <w:t>dopted on this research project to answer the following research questions:</w:t>
      </w:r>
    </w:p>
    <w:p w:rsidR="00E26C75" w:rsidRDefault="00E26C75" w:rsidP="00F41FE1">
      <w:pPr>
        <w:pStyle w:val="ListParagraph"/>
        <w:numPr>
          <w:ilvl w:val="0"/>
          <w:numId w:val="9"/>
        </w:numPr>
        <w:rPr>
          <w:sz w:val="24"/>
          <w:szCs w:val="24"/>
        </w:rPr>
      </w:pPr>
      <w:r w:rsidRPr="00F41FE1">
        <w:rPr>
          <w:sz w:val="24"/>
          <w:szCs w:val="24"/>
        </w:rPr>
        <w:t>Assess which types of mini-public have had the most frequent and extensive impact on social policy and practice and how these organisational features influence the citizens’ engagement with evidence.</w:t>
      </w:r>
    </w:p>
    <w:p w:rsidR="00F41FE1" w:rsidRPr="00F41FE1" w:rsidRDefault="00F41FE1" w:rsidP="00F41FE1">
      <w:pPr>
        <w:pStyle w:val="ListParagraph"/>
        <w:rPr>
          <w:sz w:val="24"/>
          <w:szCs w:val="24"/>
        </w:rPr>
      </w:pPr>
    </w:p>
    <w:p w:rsidR="00E26C75" w:rsidRPr="00F41FE1" w:rsidRDefault="00E26C75" w:rsidP="00F41FE1">
      <w:pPr>
        <w:pStyle w:val="ListParagraph"/>
        <w:numPr>
          <w:ilvl w:val="0"/>
          <w:numId w:val="9"/>
        </w:numPr>
        <w:rPr>
          <w:sz w:val="24"/>
          <w:szCs w:val="24"/>
        </w:rPr>
      </w:pPr>
      <w:r w:rsidRPr="00F41FE1">
        <w:rPr>
          <w:sz w:val="24"/>
          <w:szCs w:val="24"/>
        </w:rPr>
        <w:t xml:space="preserve">Investigate how the type and recruitment of experts and the presentation of evidence influences citizens’ engagement with evidence in mini-publics and furthermore </w:t>
      </w:r>
      <w:r w:rsidRPr="00F41FE1">
        <w:rPr>
          <w:sz w:val="24"/>
          <w:szCs w:val="24"/>
          <w:lang w:val="en-US"/>
        </w:rPr>
        <w:t>the perceived legitimacy of the mini-public by policy makers and practitioners</w:t>
      </w:r>
      <w:r w:rsidRPr="00F41FE1">
        <w:rPr>
          <w:sz w:val="24"/>
          <w:szCs w:val="24"/>
        </w:rPr>
        <w:t>.</w:t>
      </w:r>
    </w:p>
    <w:p w:rsidR="00E26C75" w:rsidRDefault="00E26C75" w:rsidP="00F41FE1">
      <w:pPr>
        <w:numPr>
          <w:ilvl w:val="0"/>
          <w:numId w:val="9"/>
        </w:numPr>
        <w:rPr>
          <w:sz w:val="24"/>
          <w:szCs w:val="24"/>
        </w:rPr>
      </w:pPr>
      <w:r w:rsidRPr="00E26C75">
        <w:rPr>
          <w:sz w:val="24"/>
          <w:szCs w:val="24"/>
        </w:rPr>
        <w:t>Analyse the extent that certain types of social policy and practice are more open to evidence synthesised by mini-publics than others.</w:t>
      </w:r>
    </w:p>
    <w:p w:rsidR="007E77ED" w:rsidRPr="00E26C75" w:rsidRDefault="007E77ED" w:rsidP="007E77ED">
      <w:pPr>
        <w:rPr>
          <w:sz w:val="24"/>
          <w:szCs w:val="24"/>
        </w:rPr>
      </w:pPr>
      <w:r w:rsidRPr="007E77ED">
        <w:rPr>
          <w:sz w:val="24"/>
          <w:szCs w:val="24"/>
        </w:rPr>
        <w:t>The research is based on a literature review.</w:t>
      </w:r>
      <w:r>
        <w:rPr>
          <w:sz w:val="24"/>
          <w:szCs w:val="24"/>
        </w:rPr>
        <w:t xml:space="preserve"> The criteria used to select material for analysis are:</w:t>
      </w:r>
    </w:p>
    <w:p w:rsidR="007E77ED" w:rsidRDefault="007E77ED" w:rsidP="00F41FE1">
      <w:pPr>
        <w:pStyle w:val="ListParagraph"/>
        <w:numPr>
          <w:ilvl w:val="0"/>
          <w:numId w:val="9"/>
        </w:numPr>
        <w:jc w:val="both"/>
        <w:rPr>
          <w:sz w:val="24"/>
          <w:szCs w:val="24"/>
        </w:rPr>
      </w:pPr>
      <w:r w:rsidRPr="007E77ED">
        <w:rPr>
          <w:sz w:val="24"/>
          <w:szCs w:val="24"/>
        </w:rPr>
        <w:t xml:space="preserve">Available English language literature on mini-publics and social policy </w:t>
      </w:r>
    </w:p>
    <w:p w:rsidR="007E77ED" w:rsidRPr="007E77ED" w:rsidRDefault="007E77ED" w:rsidP="00F41FE1">
      <w:pPr>
        <w:pStyle w:val="ListParagraph"/>
        <w:numPr>
          <w:ilvl w:val="0"/>
          <w:numId w:val="9"/>
        </w:numPr>
        <w:jc w:val="both"/>
        <w:rPr>
          <w:sz w:val="24"/>
          <w:szCs w:val="24"/>
        </w:rPr>
      </w:pPr>
      <w:r w:rsidRPr="007E77ED">
        <w:rPr>
          <w:sz w:val="24"/>
          <w:szCs w:val="24"/>
        </w:rPr>
        <w:t xml:space="preserve">The time period of the review will be 2006-2017. </w:t>
      </w:r>
    </w:p>
    <w:p w:rsidR="007E77ED" w:rsidRPr="007E77ED" w:rsidRDefault="007E77ED" w:rsidP="00F41FE1">
      <w:pPr>
        <w:pStyle w:val="ListParagraph"/>
        <w:numPr>
          <w:ilvl w:val="0"/>
          <w:numId w:val="9"/>
        </w:numPr>
        <w:rPr>
          <w:sz w:val="24"/>
          <w:szCs w:val="24"/>
        </w:rPr>
      </w:pPr>
      <w:r w:rsidRPr="007E77ED">
        <w:rPr>
          <w:sz w:val="24"/>
          <w:szCs w:val="24"/>
        </w:rPr>
        <w:t>It will focus on the following countries: Australia, Denmark, Finlan</w:t>
      </w:r>
      <w:r w:rsidR="00F41FE1">
        <w:rPr>
          <w:sz w:val="24"/>
          <w:szCs w:val="24"/>
        </w:rPr>
        <w:t xml:space="preserve">d, France, Germany, New Zealand, the Netherlands </w:t>
      </w:r>
      <w:r w:rsidRPr="007E77ED">
        <w:rPr>
          <w:sz w:val="24"/>
          <w:szCs w:val="24"/>
        </w:rPr>
        <w:t>and the United Kingdom.</w:t>
      </w:r>
    </w:p>
    <w:p w:rsidR="007E77ED" w:rsidRPr="007E77ED" w:rsidRDefault="007E77ED" w:rsidP="00F41FE1">
      <w:pPr>
        <w:pStyle w:val="ListParagraph"/>
        <w:numPr>
          <w:ilvl w:val="0"/>
          <w:numId w:val="9"/>
        </w:numPr>
        <w:jc w:val="both"/>
        <w:rPr>
          <w:sz w:val="24"/>
          <w:szCs w:val="24"/>
        </w:rPr>
      </w:pPr>
      <w:r w:rsidRPr="007E77ED">
        <w:rPr>
          <w:sz w:val="24"/>
          <w:szCs w:val="24"/>
        </w:rPr>
        <w:t>It will focus on the following types of mini-public: Citizens’ Juries, Planning Cells, Consensus Conferences, Deliberative Polls, and Citizens’ Assemblies.</w:t>
      </w:r>
    </w:p>
    <w:p w:rsidR="007E77ED" w:rsidRPr="007E77ED" w:rsidRDefault="007E77ED" w:rsidP="00F41FE1">
      <w:pPr>
        <w:pStyle w:val="ListParagraph"/>
        <w:numPr>
          <w:ilvl w:val="0"/>
          <w:numId w:val="9"/>
        </w:numPr>
        <w:jc w:val="both"/>
        <w:rPr>
          <w:sz w:val="24"/>
          <w:szCs w:val="24"/>
        </w:rPr>
      </w:pPr>
      <w:r w:rsidRPr="007E77ED">
        <w:rPr>
          <w:sz w:val="24"/>
          <w:szCs w:val="24"/>
        </w:rPr>
        <w:t>It will focus on the following areas of social policy: education, health, housing, policing, and social benefits.</w:t>
      </w:r>
    </w:p>
    <w:p w:rsidR="007E77ED" w:rsidRDefault="007E77ED" w:rsidP="00F41FE1">
      <w:pPr>
        <w:pStyle w:val="ListParagraph"/>
        <w:numPr>
          <w:ilvl w:val="0"/>
          <w:numId w:val="9"/>
        </w:numPr>
        <w:jc w:val="both"/>
        <w:rPr>
          <w:sz w:val="24"/>
          <w:szCs w:val="24"/>
        </w:rPr>
      </w:pPr>
      <w:r w:rsidRPr="007E77ED">
        <w:rPr>
          <w:sz w:val="24"/>
          <w:szCs w:val="24"/>
        </w:rPr>
        <w:t>The following databases will be used to assemble the relevant literature to be analysed:</w:t>
      </w:r>
      <w:r w:rsidRPr="007E77ED">
        <w:rPr>
          <w:rFonts w:cs="Calibri"/>
          <w:sz w:val="24"/>
          <w:szCs w:val="24"/>
        </w:rPr>
        <w:t xml:space="preserve"> 1. </w:t>
      </w:r>
      <w:r w:rsidRPr="007E77ED">
        <w:rPr>
          <w:sz w:val="24"/>
          <w:szCs w:val="24"/>
        </w:rPr>
        <w:t>International Bibliography of the Social Sciences (IBSS)</w:t>
      </w:r>
      <w:r w:rsidRPr="007E77ED">
        <w:rPr>
          <w:rFonts w:ascii="Arial" w:hAnsi="Arial" w:cs="Arial"/>
          <w:sz w:val="24"/>
          <w:szCs w:val="24"/>
        </w:rPr>
        <w:t>‎</w:t>
      </w:r>
      <w:r w:rsidRPr="007E77ED">
        <w:rPr>
          <w:sz w:val="24"/>
          <w:szCs w:val="24"/>
        </w:rPr>
        <w:t xml:space="preserve">, 2. Sociological Abstracts, 3. Sociology 4. Database, 5. Applied Social Sciences Index &amp; Abstracts (ASSIA), 6. Web of Science, and 7. </w:t>
      </w:r>
      <w:proofErr w:type="spellStart"/>
      <w:r w:rsidRPr="007E77ED">
        <w:rPr>
          <w:sz w:val="24"/>
          <w:szCs w:val="24"/>
        </w:rPr>
        <w:t>Participedia</w:t>
      </w:r>
      <w:proofErr w:type="spellEnd"/>
      <w:r w:rsidRPr="007E77ED">
        <w:rPr>
          <w:sz w:val="24"/>
          <w:szCs w:val="24"/>
        </w:rPr>
        <w:t xml:space="preserve">. This should ensure that the dataset is of high and reliable quality. </w:t>
      </w:r>
    </w:p>
    <w:p w:rsidR="007E77ED" w:rsidRDefault="007E77ED" w:rsidP="00F41FE1">
      <w:pPr>
        <w:pStyle w:val="ListParagraph"/>
        <w:numPr>
          <w:ilvl w:val="0"/>
          <w:numId w:val="9"/>
        </w:numPr>
        <w:rPr>
          <w:sz w:val="24"/>
          <w:szCs w:val="24"/>
        </w:rPr>
      </w:pPr>
      <w:r w:rsidRPr="007E77ED">
        <w:rPr>
          <w:sz w:val="24"/>
          <w:szCs w:val="24"/>
        </w:rPr>
        <w:t>The databases will be searched through a combination of the types of mini-publics, policy areas, and countries listed above to identify cases for analysis</w:t>
      </w:r>
    </w:p>
    <w:p w:rsidR="00DE2792" w:rsidRDefault="00DE2792" w:rsidP="00DE2792">
      <w:pPr>
        <w:rPr>
          <w:sz w:val="24"/>
          <w:szCs w:val="24"/>
        </w:rPr>
      </w:pPr>
    </w:p>
    <w:p w:rsidR="00DE2792" w:rsidRDefault="00DE2792" w:rsidP="00DE2792">
      <w:pPr>
        <w:rPr>
          <w:sz w:val="24"/>
          <w:szCs w:val="24"/>
        </w:rPr>
      </w:pPr>
    </w:p>
    <w:p w:rsidR="00DE2792" w:rsidRDefault="00DE2792" w:rsidP="00DE2792">
      <w:pPr>
        <w:rPr>
          <w:sz w:val="24"/>
          <w:szCs w:val="24"/>
        </w:rPr>
      </w:pPr>
    </w:p>
    <w:p w:rsidR="00DE2792" w:rsidRDefault="00DE2792" w:rsidP="00DE2792">
      <w:pPr>
        <w:rPr>
          <w:sz w:val="24"/>
          <w:szCs w:val="24"/>
        </w:rPr>
      </w:pPr>
    </w:p>
    <w:p w:rsidR="00DE2792" w:rsidRDefault="00DE2792" w:rsidP="00DE2792">
      <w:pPr>
        <w:rPr>
          <w:sz w:val="24"/>
          <w:szCs w:val="24"/>
        </w:rPr>
      </w:pPr>
    </w:p>
    <w:p w:rsidR="00DE2792" w:rsidRDefault="00DE2792" w:rsidP="00DE2792">
      <w:pPr>
        <w:rPr>
          <w:sz w:val="24"/>
          <w:szCs w:val="24"/>
        </w:rPr>
      </w:pPr>
    </w:p>
    <w:p w:rsidR="00DE2792" w:rsidRDefault="00DE2792" w:rsidP="00DE2792">
      <w:pPr>
        <w:rPr>
          <w:sz w:val="24"/>
          <w:szCs w:val="24"/>
        </w:rPr>
      </w:pPr>
    </w:p>
    <w:p w:rsidR="00DE2792" w:rsidRPr="00DE2792" w:rsidRDefault="00DE2792" w:rsidP="00DE2792">
      <w:pPr>
        <w:rPr>
          <w:sz w:val="24"/>
          <w:szCs w:val="24"/>
        </w:rPr>
      </w:pPr>
    </w:p>
    <w:p w:rsidR="007E77ED" w:rsidRDefault="007E77ED" w:rsidP="007E77ED">
      <w:pPr>
        <w:rPr>
          <w:sz w:val="24"/>
          <w:szCs w:val="24"/>
        </w:rPr>
      </w:pPr>
      <w:r w:rsidRPr="007E77ED">
        <w:rPr>
          <w:sz w:val="24"/>
          <w:szCs w:val="24"/>
        </w:rPr>
        <w:lastRenderedPageBreak/>
        <w:t xml:space="preserve">Analysis of the cases </w:t>
      </w:r>
      <w:r w:rsidR="0043749E">
        <w:rPr>
          <w:sz w:val="24"/>
          <w:szCs w:val="24"/>
        </w:rPr>
        <w:t>is</w:t>
      </w:r>
      <w:r w:rsidRPr="007E77ED">
        <w:rPr>
          <w:sz w:val="24"/>
          <w:szCs w:val="24"/>
        </w:rPr>
        <w:t xml:space="preserve"> based on t</w:t>
      </w:r>
      <w:r w:rsidR="0043749E">
        <w:rPr>
          <w:sz w:val="24"/>
          <w:szCs w:val="24"/>
        </w:rPr>
        <w:t xml:space="preserve">he categorisation detailed in </w:t>
      </w:r>
      <w:r w:rsidRPr="007E77ED">
        <w:rPr>
          <w:sz w:val="24"/>
          <w:szCs w:val="24"/>
        </w:rPr>
        <w:t xml:space="preserve">table </w:t>
      </w:r>
      <w:r>
        <w:rPr>
          <w:sz w:val="24"/>
          <w:szCs w:val="24"/>
        </w:rPr>
        <w:t xml:space="preserve">2 </w:t>
      </w:r>
      <w:r w:rsidRPr="007E77ED">
        <w:rPr>
          <w:sz w:val="24"/>
          <w:szCs w:val="24"/>
        </w:rPr>
        <w:t>below:</w:t>
      </w:r>
    </w:p>
    <w:p w:rsidR="007E77ED" w:rsidRPr="00175860" w:rsidRDefault="00964FCF" w:rsidP="007E77ED">
      <w:pPr>
        <w:rPr>
          <w:b/>
          <w:bCs/>
          <w:color w:val="0B5484" w:themeColor="accent1" w:themeShade="80"/>
          <w:sz w:val="24"/>
          <w:szCs w:val="24"/>
        </w:rPr>
      </w:pPr>
      <w:r>
        <w:rPr>
          <w:b/>
          <w:bCs/>
          <w:color w:val="0B5484" w:themeColor="accent1" w:themeShade="80"/>
          <w:sz w:val="24"/>
          <w:szCs w:val="24"/>
        </w:rPr>
        <w:t>Table 2:</w:t>
      </w:r>
      <w:r w:rsidR="007E77ED" w:rsidRPr="00175860">
        <w:rPr>
          <w:b/>
          <w:bCs/>
          <w:color w:val="0B5484" w:themeColor="accent1" w:themeShade="80"/>
          <w:sz w:val="24"/>
          <w:szCs w:val="24"/>
        </w:rPr>
        <w:t xml:space="preserve"> Criteria for Case Analysis</w:t>
      </w:r>
    </w:p>
    <w:tbl>
      <w:tblPr>
        <w:tblStyle w:val="TableGrid"/>
        <w:tblW w:w="9072" w:type="dxa"/>
        <w:tblInd w:w="-5" w:type="dxa"/>
        <w:tblLook w:val="04A0" w:firstRow="1" w:lastRow="0" w:firstColumn="1" w:lastColumn="0" w:noHBand="0" w:noVBand="1"/>
      </w:tblPr>
      <w:tblGrid>
        <w:gridCol w:w="2654"/>
        <w:gridCol w:w="6418"/>
      </w:tblGrid>
      <w:tr w:rsidR="007E77ED" w:rsidRPr="007E77ED" w:rsidTr="007E77ED">
        <w:tc>
          <w:tcPr>
            <w:tcW w:w="2654" w:type="dxa"/>
          </w:tcPr>
          <w:p w:rsidR="007E77ED" w:rsidRPr="0029027F" w:rsidRDefault="007E77ED" w:rsidP="007E77ED">
            <w:pPr>
              <w:pStyle w:val="ListParagraph"/>
              <w:spacing w:after="160" w:line="259" w:lineRule="auto"/>
              <w:rPr>
                <w:b/>
                <w:i/>
                <w:color w:val="0B5484" w:themeColor="accent1" w:themeShade="80"/>
                <w:sz w:val="24"/>
                <w:szCs w:val="24"/>
              </w:rPr>
            </w:pPr>
            <w:r w:rsidRPr="0029027F">
              <w:rPr>
                <w:b/>
                <w:i/>
                <w:color w:val="0B5484" w:themeColor="accent1" w:themeShade="80"/>
                <w:sz w:val="24"/>
                <w:szCs w:val="24"/>
              </w:rPr>
              <w:t>Theme</w:t>
            </w:r>
          </w:p>
        </w:tc>
        <w:tc>
          <w:tcPr>
            <w:tcW w:w="6418" w:type="dxa"/>
          </w:tcPr>
          <w:p w:rsidR="007E77ED" w:rsidRPr="0029027F" w:rsidRDefault="007E77ED" w:rsidP="007E77ED">
            <w:pPr>
              <w:pStyle w:val="ListParagraph"/>
              <w:spacing w:after="160" w:line="259" w:lineRule="auto"/>
              <w:rPr>
                <w:b/>
                <w:i/>
                <w:color w:val="0B5484" w:themeColor="accent1" w:themeShade="80"/>
                <w:sz w:val="24"/>
                <w:szCs w:val="24"/>
              </w:rPr>
            </w:pPr>
            <w:r w:rsidRPr="0029027F">
              <w:rPr>
                <w:b/>
                <w:i/>
                <w:color w:val="0B5484" w:themeColor="accent1" w:themeShade="80"/>
                <w:sz w:val="24"/>
                <w:szCs w:val="24"/>
              </w:rPr>
              <w:t>Categorisation</w:t>
            </w:r>
          </w:p>
        </w:tc>
      </w:tr>
      <w:tr w:rsidR="007E77ED" w:rsidRPr="007E77ED" w:rsidTr="007E77ED">
        <w:tc>
          <w:tcPr>
            <w:tcW w:w="2654" w:type="dxa"/>
          </w:tcPr>
          <w:p w:rsidR="007E77ED" w:rsidRPr="0029027F" w:rsidRDefault="007E77ED" w:rsidP="007E77ED">
            <w:pPr>
              <w:rPr>
                <w:b/>
                <w:i/>
                <w:sz w:val="24"/>
                <w:szCs w:val="24"/>
              </w:rPr>
            </w:pPr>
            <w:r w:rsidRPr="0029027F">
              <w:rPr>
                <w:b/>
                <w:i/>
                <w:color w:val="0B5484" w:themeColor="accent1" w:themeShade="80"/>
                <w:sz w:val="24"/>
                <w:szCs w:val="24"/>
              </w:rPr>
              <w:t>Mini-public</w:t>
            </w:r>
          </w:p>
        </w:tc>
        <w:tc>
          <w:tcPr>
            <w:tcW w:w="6418" w:type="dxa"/>
          </w:tcPr>
          <w:p w:rsidR="007E77ED" w:rsidRPr="007E77ED" w:rsidRDefault="007E77ED" w:rsidP="00F41FE1">
            <w:pPr>
              <w:pStyle w:val="ListParagraph"/>
              <w:numPr>
                <w:ilvl w:val="0"/>
                <w:numId w:val="9"/>
              </w:numPr>
              <w:spacing w:after="160" w:line="259" w:lineRule="auto"/>
              <w:rPr>
                <w:sz w:val="24"/>
                <w:szCs w:val="24"/>
              </w:rPr>
            </w:pPr>
            <w:r w:rsidRPr="007E77ED">
              <w:rPr>
                <w:sz w:val="24"/>
                <w:szCs w:val="24"/>
              </w:rPr>
              <w:t>Type (Citizens’ Jury, Planning Cell, Consensus Conference, Deliberative Poll, or Citizens’ Assembly)</w:t>
            </w:r>
          </w:p>
          <w:p w:rsidR="007E77ED" w:rsidRPr="007E77ED" w:rsidRDefault="007E77ED" w:rsidP="00F41FE1">
            <w:pPr>
              <w:pStyle w:val="ListParagraph"/>
              <w:numPr>
                <w:ilvl w:val="0"/>
                <w:numId w:val="9"/>
              </w:numPr>
              <w:spacing w:after="160" w:line="259" w:lineRule="auto"/>
              <w:rPr>
                <w:sz w:val="24"/>
                <w:szCs w:val="24"/>
              </w:rPr>
            </w:pPr>
            <w:r w:rsidRPr="007E77ED">
              <w:rPr>
                <w:sz w:val="24"/>
                <w:szCs w:val="24"/>
              </w:rPr>
              <w:t>Sample size</w:t>
            </w:r>
          </w:p>
          <w:p w:rsidR="007E77ED" w:rsidRPr="007E77ED" w:rsidRDefault="007E77ED" w:rsidP="00F41FE1">
            <w:pPr>
              <w:pStyle w:val="ListParagraph"/>
              <w:numPr>
                <w:ilvl w:val="0"/>
                <w:numId w:val="9"/>
              </w:numPr>
              <w:spacing w:after="160" w:line="259" w:lineRule="auto"/>
              <w:rPr>
                <w:sz w:val="24"/>
                <w:szCs w:val="24"/>
              </w:rPr>
            </w:pPr>
            <w:r w:rsidRPr="007E77ED">
              <w:rPr>
                <w:sz w:val="24"/>
                <w:szCs w:val="24"/>
              </w:rPr>
              <w:t>Sample method (random, stratified, other)</w:t>
            </w:r>
          </w:p>
          <w:p w:rsidR="007E77ED" w:rsidRPr="007E77ED" w:rsidRDefault="007E77ED" w:rsidP="00F41FE1">
            <w:pPr>
              <w:pStyle w:val="ListParagraph"/>
              <w:numPr>
                <w:ilvl w:val="0"/>
                <w:numId w:val="9"/>
              </w:numPr>
              <w:spacing w:after="160" w:line="259" w:lineRule="auto"/>
              <w:rPr>
                <w:sz w:val="24"/>
                <w:szCs w:val="24"/>
              </w:rPr>
            </w:pPr>
            <w:r w:rsidRPr="007E77ED">
              <w:rPr>
                <w:sz w:val="24"/>
                <w:szCs w:val="24"/>
              </w:rPr>
              <w:t>Duration</w:t>
            </w:r>
          </w:p>
          <w:p w:rsidR="007E77ED" w:rsidRPr="007E77ED" w:rsidRDefault="007E77ED" w:rsidP="00F41FE1">
            <w:pPr>
              <w:pStyle w:val="ListParagraph"/>
              <w:numPr>
                <w:ilvl w:val="0"/>
                <w:numId w:val="9"/>
              </w:numPr>
              <w:spacing w:after="160" w:line="259" w:lineRule="auto"/>
              <w:rPr>
                <w:sz w:val="24"/>
                <w:szCs w:val="24"/>
              </w:rPr>
            </w:pPr>
            <w:r w:rsidRPr="007E77ED">
              <w:rPr>
                <w:sz w:val="24"/>
                <w:szCs w:val="24"/>
              </w:rPr>
              <w:t>Activities (plenary and/or small group discussions)</w:t>
            </w:r>
          </w:p>
          <w:p w:rsidR="007E77ED" w:rsidRPr="007E77ED" w:rsidRDefault="007E77ED" w:rsidP="00F41FE1">
            <w:pPr>
              <w:pStyle w:val="ListParagraph"/>
              <w:numPr>
                <w:ilvl w:val="0"/>
                <w:numId w:val="9"/>
              </w:numPr>
              <w:spacing w:after="160" w:line="259" w:lineRule="auto"/>
              <w:rPr>
                <w:sz w:val="24"/>
                <w:szCs w:val="24"/>
              </w:rPr>
            </w:pPr>
            <w:r w:rsidRPr="007E77ED">
              <w:rPr>
                <w:sz w:val="24"/>
                <w:szCs w:val="24"/>
              </w:rPr>
              <w:t>Output (citizen survey and/or collective position)</w:t>
            </w:r>
          </w:p>
        </w:tc>
      </w:tr>
      <w:tr w:rsidR="007E77ED" w:rsidRPr="007E77ED" w:rsidTr="007E77ED">
        <w:tc>
          <w:tcPr>
            <w:tcW w:w="2654" w:type="dxa"/>
          </w:tcPr>
          <w:p w:rsidR="007E77ED" w:rsidRPr="0029027F" w:rsidRDefault="007E77ED" w:rsidP="007E77ED">
            <w:pPr>
              <w:rPr>
                <w:b/>
                <w:i/>
                <w:color w:val="0B5484" w:themeColor="accent1" w:themeShade="80"/>
                <w:sz w:val="24"/>
                <w:szCs w:val="24"/>
              </w:rPr>
            </w:pPr>
            <w:r w:rsidRPr="0029027F">
              <w:rPr>
                <w:b/>
                <w:i/>
                <w:color w:val="0B5484" w:themeColor="accent1" w:themeShade="80"/>
                <w:sz w:val="24"/>
                <w:szCs w:val="24"/>
              </w:rPr>
              <w:t>Witnesses and Evidence</w:t>
            </w:r>
          </w:p>
        </w:tc>
        <w:tc>
          <w:tcPr>
            <w:tcW w:w="6418" w:type="dxa"/>
          </w:tcPr>
          <w:p w:rsidR="007E77ED" w:rsidRPr="007E77ED" w:rsidRDefault="007E77ED" w:rsidP="00F41FE1">
            <w:pPr>
              <w:pStyle w:val="ListParagraph"/>
              <w:numPr>
                <w:ilvl w:val="0"/>
                <w:numId w:val="9"/>
              </w:numPr>
              <w:spacing w:after="160" w:line="259" w:lineRule="auto"/>
              <w:rPr>
                <w:sz w:val="24"/>
                <w:szCs w:val="24"/>
              </w:rPr>
            </w:pPr>
            <w:r w:rsidRPr="007E77ED">
              <w:rPr>
                <w:sz w:val="24"/>
                <w:szCs w:val="24"/>
              </w:rPr>
              <w:t>Number of witnesses in the mini-public</w:t>
            </w:r>
          </w:p>
          <w:p w:rsidR="007E77ED" w:rsidRPr="007E77ED" w:rsidRDefault="007E77ED" w:rsidP="00F41FE1">
            <w:pPr>
              <w:pStyle w:val="ListParagraph"/>
              <w:numPr>
                <w:ilvl w:val="0"/>
                <w:numId w:val="9"/>
              </w:numPr>
              <w:spacing w:after="160" w:line="259" w:lineRule="auto"/>
              <w:rPr>
                <w:sz w:val="24"/>
                <w:szCs w:val="24"/>
              </w:rPr>
            </w:pPr>
            <w:r w:rsidRPr="007E77ED">
              <w:rPr>
                <w:sz w:val="24"/>
                <w:szCs w:val="24"/>
              </w:rPr>
              <w:t>Type of witnesses in the mini-public (knowledge experts, stakeholders, experiential publics, representative publics)</w:t>
            </w:r>
          </w:p>
          <w:p w:rsidR="007E77ED" w:rsidRPr="007E77ED" w:rsidRDefault="007E77ED" w:rsidP="00F41FE1">
            <w:pPr>
              <w:pStyle w:val="ListParagraph"/>
              <w:numPr>
                <w:ilvl w:val="0"/>
                <w:numId w:val="9"/>
              </w:numPr>
              <w:spacing w:after="160" w:line="259" w:lineRule="auto"/>
              <w:rPr>
                <w:sz w:val="24"/>
                <w:szCs w:val="24"/>
              </w:rPr>
            </w:pPr>
            <w:r w:rsidRPr="007E77ED">
              <w:rPr>
                <w:sz w:val="24"/>
                <w:szCs w:val="24"/>
              </w:rPr>
              <w:t>Witness recruitment method (organisers, advisory board, citizens)</w:t>
            </w:r>
          </w:p>
          <w:p w:rsidR="007E77ED" w:rsidRPr="007E77ED" w:rsidRDefault="007E77ED" w:rsidP="00F41FE1">
            <w:pPr>
              <w:pStyle w:val="ListParagraph"/>
              <w:numPr>
                <w:ilvl w:val="0"/>
                <w:numId w:val="9"/>
              </w:numPr>
              <w:spacing w:after="160" w:line="259" w:lineRule="auto"/>
              <w:rPr>
                <w:sz w:val="24"/>
                <w:szCs w:val="24"/>
              </w:rPr>
            </w:pPr>
            <w:r w:rsidRPr="007E77ED">
              <w:rPr>
                <w:sz w:val="24"/>
                <w:szCs w:val="24"/>
              </w:rPr>
              <w:t>Number of witness sessions</w:t>
            </w:r>
          </w:p>
          <w:p w:rsidR="007E77ED" w:rsidRPr="007E77ED" w:rsidRDefault="007E77ED" w:rsidP="00F41FE1">
            <w:pPr>
              <w:pStyle w:val="ListParagraph"/>
              <w:numPr>
                <w:ilvl w:val="0"/>
                <w:numId w:val="9"/>
              </w:numPr>
              <w:spacing w:after="160" w:line="259" w:lineRule="auto"/>
              <w:rPr>
                <w:sz w:val="24"/>
                <w:szCs w:val="24"/>
              </w:rPr>
            </w:pPr>
            <w:r w:rsidRPr="007E77ED">
              <w:rPr>
                <w:sz w:val="24"/>
                <w:szCs w:val="24"/>
              </w:rPr>
              <w:t xml:space="preserve">Format for evidence presentation (report, plenary, small groups, combination) </w:t>
            </w:r>
          </w:p>
          <w:p w:rsidR="007E77ED" w:rsidRPr="007E77ED" w:rsidRDefault="007E77ED" w:rsidP="00F41FE1">
            <w:pPr>
              <w:pStyle w:val="ListParagraph"/>
              <w:numPr>
                <w:ilvl w:val="0"/>
                <w:numId w:val="9"/>
              </w:numPr>
              <w:spacing w:after="160" w:line="259" w:lineRule="auto"/>
              <w:rPr>
                <w:sz w:val="24"/>
                <w:szCs w:val="24"/>
              </w:rPr>
            </w:pPr>
            <w:r w:rsidRPr="007E77ED">
              <w:rPr>
                <w:sz w:val="24"/>
                <w:szCs w:val="24"/>
              </w:rPr>
              <w:t>Extent evidence influenced citizens’ opinion (little influence/ moderate influence/ extensive influence)</w:t>
            </w:r>
          </w:p>
        </w:tc>
      </w:tr>
      <w:tr w:rsidR="007E77ED" w:rsidRPr="007E77ED" w:rsidTr="007E77ED">
        <w:tc>
          <w:tcPr>
            <w:tcW w:w="2654" w:type="dxa"/>
          </w:tcPr>
          <w:p w:rsidR="007E77ED" w:rsidRPr="0029027F" w:rsidRDefault="007E77ED" w:rsidP="007E77ED">
            <w:pPr>
              <w:rPr>
                <w:b/>
                <w:i/>
                <w:color w:val="0B5484" w:themeColor="accent1" w:themeShade="80"/>
                <w:sz w:val="24"/>
                <w:szCs w:val="24"/>
              </w:rPr>
            </w:pPr>
            <w:r w:rsidRPr="0029027F">
              <w:rPr>
                <w:b/>
                <w:i/>
                <w:color w:val="0B5484" w:themeColor="accent1" w:themeShade="80"/>
                <w:sz w:val="24"/>
                <w:szCs w:val="24"/>
              </w:rPr>
              <w:t>Policy and Practice</w:t>
            </w:r>
          </w:p>
        </w:tc>
        <w:tc>
          <w:tcPr>
            <w:tcW w:w="6418" w:type="dxa"/>
          </w:tcPr>
          <w:p w:rsidR="007E77ED" w:rsidRPr="007E77ED" w:rsidRDefault="007E77ED" w:rsidP="00F41FE1">
            <w:pPr>
              <w:pStyle w:val="ListParagraph"/>
              <w:numPr>
                <w:ilvl w:val="0"/>
                <w:numId w:val="9"/>
              </w:numPr>
              <w:spacing w:after="160" w:line="259" w:lineRule="auto"/>
              <w:rPr>
                <w:sz w:val="24"/>
                <w:szCs w:val="24"/>
              </w:rPr>
            </w:pPr>
            <w:r w:rsidRPr="007E77ED">
              <w:rPr>
                <w:sz w:val="24"/>
                <w:szCs w:val="24"/>
              </w:rPr>
              <w:t>Policy/ Practice area (education, health, housing, policing, and social benefits)</w:t>
            </w:r>
          </w:p>
          <w:p w:rsidR="007E77ED" w:rsidRPr="007E77ED" w:rsidRDefault="007E77ED" w:rsidP="00F41FE1">
            <w:pPr>
              <w:pStyle w:val="ListParagraph"/>
              <w:numPr>
                <w:ilvl w:val="0"/>
                <w:numId w:val="9"/>
              </w:numPr>
              <w:spacing w:after="160" w:line="259" w:lineRule="auto"/>
              <w:rPr>
                <w:sz w:val="24"/>
                <w:szCs w:val="24"/>
              </w:rPr>
            </w:pPr>
            <w:r w:rsidRPr="007E77ED">
              <w:rPr>
                <w:sz w:val="24"/>
                <w:szCs w:val="24"/>
              </w:rPr>
              <w:t xml:space="preserve">Extent of policy and practice influence (no/ limited influence, influence on policy/ practice debate, policy or practice influence) </w:t>
            </w:r>
          </w:p>
        </w:tc>
      </w:tr>
    </w:tbl>
    <w:p w:rsidR="007E77ED" w:rsidRPr="007E77ED" w:rsidRDefault="007E77ED" w:rsidP="007E77ED">
      <w:pPr>
        <w:rPr>
          <w:sz w:val="24"/>
          <w:szCs w:val="24"/>
        </w:rPr>
      </w:pPr>
    </w:p>
    <w:p w:rsidR="007E77ED" w:rsidRDefault="007E77ED" w:rsidP="007E77ED">
      <w:pPr>
        <w:rPr>
          <w:sz w:val="24"/>
          <w:szCs w:val="24"/>
        </w:rPr>
      </w:pPr>
      <w:r w:rsidRPr="007E77ED">
        <w:rPr>
          <w:sz w:val="24"/>
          <w:szCs w:val="24"/>
        </w:rPr>
        <w:t>Following a consideration of all the above criteria the most relevant case studies from each country will be identified that would benefit from further investigation</w:t>
      </w:r>
      <w:r>
        <w:rPr>
          <w:sz w:val="24"/>
          <w:szCs w:val="24"/>
        </w:rPr>
        <w:t>.</w:t>
      </w:r>
      <w:r w:rsidRPr="007E77ED">
        <w:rPr>
          <w:sz w:val="24"/>
          <w:szCs w:val="24"/>
        </w:rPr>
        <w:t xml:space="preserve"> </w:t>
      </w:r>
      <w:r w:rsidR="00845E3C">
        <w:rPr>
          <w:sz w:val="24"/>
          <w:szCs w:val="24"/>
        </w:rPr>
        <w:t xml:space="preserve">The cases will be selected due to their relevance to the research themes, and to ensure a range of types of mini-public and policy area. </w:t>
      </w:r>
      <w:r w:rsidR="00EA5AAF">
        <w:rPr>
          <w:sz w:val="24"/>
          <w:szCs w:val="24"/>
        </w:rPr>
        <w:t>In the following section, the identified cases are detailed and analysed.</w:t>
      </w:r>
    </w:p>
    <w:p w:rsidR="00DA63C7" w:rsidRDefault="00DA63C7" w:rsidP="00DA63C7">
      <w:pPr>
        <w:jc w:val="both"/>
        <w:rPr>
          <w:b/>
          <w:color w:val="0B5484" w:themeColor="accent1" w:themeShade="80"/>
          <w:sz w:val="36"/>
          <w:szCs w:val="36"/>
        </w:rPr>
      </w:pPr>
    </w:p>
    <w:p w:rsidR="0029027F" w:rsidRDefault="0029027F" w:rsidP="00DA63C7">
      <w:pPr>
        <w:jc w:val="both"/>
        <w:rPr>
          <w:b/>
          <w:color w:val="0B5484" w:themeColor="accent1" w:themeShade="80"/>
          <w:sz w:val="36"/>
          <w:szCs w:val="36"/>
        </w:rPr>
      </w:pPr>
    </w:p>
    <w:p w:rsidR="0029027F" w:rsidRDefault="0029027F" w:rsidP="00DA63C7">
      <w:pPr>
        <w:jc w:val="both"/>
        <w:rPr>
          <w:b/>
          <w:color w:val="0B5484" w:themeColor="accent1" w:themeShade="80"/>
          <w:sz w:val="36"/>
          <w:szCs w:val="36"/>
        </w:rPr>
      </w:pPr>
    </w:p>
    <w:p w:rsidR="0029027F" w:rsidRDefault="0029027F" w:rsidP="00DA63C7">
      <w:pPr>
        <w:jc w:val="both"/>
        <w:rPr>
          <w:b/>
          <w:color w:val="0B5484" w:themeColor="accent1" w:themeShade="80"/>
          <w:sz w:val="36"/>
          <w:szCs w:val="36"/>
        </w:rPr>
      </w:pPr>
    </w:p>
    <w:p w:rsidR="0029027F" w:rsidRDefault="0029027F" w:rsidP="00DA63C7">
      <w:pPr>
        <w:jc w:val="both"/>
        <w:rPr>
          <w:b/>
          <w:color w:val="0B5484" w:themeColor="accent1" w:themeShade="80"/>
          <w:sz w:val="36"/>
          <w:szCs w:val="36"/>
        </w:rPr>
      </w:pPr>
    </w:p>
    <w:p w:rsidR="0029027F" w:rsidRDefault="0029027F" w:rsidP="00DA63C7">
      <w:pPr>
        <w:jc w:val="both"/>
        <w:rPr>
          <w:b/>
          <w:color w:val="0B5484" w:themeColor="accent1" w:themeShade="80"/>
          <w:sz w:val="36"/>
          <w:szCs w:val="36"/>
        </w:rPr>
      </w:pPr>
    </w:p>
    <w:p w:rsidR="009511A4" w:rsidRDefault="009511A4" w:rsidP="00DA63C7">
      <w:pPr>
        <w:jc w:val="both"/>
        <w:rPr>
          <w:b/>
          <w:color w:val="0B5484" w:themeColor="accent1" w:themeShade="80"/>
          <w:sz w:val="36"/>
          <w:szCs w:val="36"/>
        </w:rPr>
      </w:pPr>
    </w:p>
    <w:p w:rsidR="00DA63C7" w:rsidRDefault="00DA63C7" w:rsidP="00DA63C7">
      <w:pPr>
        <w:jc w:val="both"/>
        <w:rPr>
          <w:b/>
          <w:color w:val="0B5484" w:themeColor="accent1" w:themeShade="80"/>
          <w:sz w:val="36"/>
          <w:szCs w:val="36"/>
        </w:rPr>
      </w:pPr>
      <w:r>
        <w:rPr>
          <w:b/>
          <w:color w:val="0B5484" w:themeColor="accent1" w:themeShade="80"/>
          <w:sz w:val="36"/>
          <w:szCs w:val="36"/>
        </w:rPr>
        <w:t xml:space="preserve">Case </w:t>
      </w:r>
      <w:r w:rsidR="00B63FCB">
        <w:rPr>
          <w:b/>
          <w:color w:val="0B5484" w:themeColor="accent1" w:themeShade="80"/>
          <w:sz w:val="36"/>
          <w:szCs w:val="36"/>
        </w:rPr>
        <w:t>Studies by Country</w:t>
      </w:r>
    </w:p>
    <w:p w:rsidR="00237EB1" w:rsidRDefault="009D0A6D" w:rsidP="00845E3C">
      <w:pPr>
        <w:jc w:val="both"/>
        <w:rPr>
          <w:sz w:val="24"/>
          <w:szCs w:val="24"/>
        </w:rPr>
      </w:pPr>
      <w:r>
        <w:rPr>
          <w:sz w:val="24"/>
          <w:szCs w:val="24"/>
        </w:rPr>
        <w:t xml:space="preserve">In this </w:t>
      </w:r>
      <w:r w:rsidR="00973F24">
        <w:rPr>
          <w:sz w:val="24"/>
          <w:szCs w:val="24"/>
        </w:rPr>
        <w:t>section,</w:t>
      </w:r>
      <w:r>
        <w:rPr>
          <w:sz w:val="24"/>
          <w:szCs w:val="24"/>
        </w:rPr>
        <w:t xml:space="preserve"> </w:t>
      </w:r>
      <w:r w:rsidR="00C82A8C">
        <w:rPr>
          <w:sz w:val="24"/>
          <w:szCs w:val="24"/>
        </w:rPr>
        <w:t>we discuss the mini-public case</w:t>
      </w:r>
      <w:r w:rsidR="00973F24">
        <w:rPr>
          <w:sz w:val="24"/>
          <w:szCs w:val="24"/>
        </w:rPr>
        <w:t xml:space="preserve"> studies that we have identified in each country, and analyse them around the key themes </w:t>
      </w:r>
      <w:r w:rsidR="00237EB1">
        <w:rPr>
          <w:sz w:val="24"/>
          <w:szCs w:val="24"/>
        </w:rPr>
        <w:t>of evid</w:t>
      </w:r>
      <w:r w:rsidR="00C82A8C">
        <w:rPr>
          <w:sz w:val="24"/>
          <w:szCs w:val="24"/>
        </w:rPr>
        <w:t>ence, experts, and impact</w:t>
      </w:r>
      <w:r w:rsidR="00237EB1">
        <w:rPr>
          <w:sz w:val="24"/>
          <w:szCs w:val="24"/>
        </w:rPr>
        <w:t>. Each section concludes by highlighting</w:t>
      </w:r>
      <w:r w:rsidR="00F83B39">
        <w:rPr>
          <w:sz w:val="24"/>
          <w:szCs w:val="24"/>
        </w:rPr>
        <w:t xml:space="preserve"> suitable case studies</w:t>
      </w:r>
      <w:r w:rsidR="00237EB1">
        <w:rPr>
          <w:sz w:val="24"/>
          <w:szCs w:val="24"/>
        </w:rPr>
        <w:t xml:space="preserve"> for further research.</w:t>
      </w:r>
      <w:r w:rsidR="00973F24">
        <w:rPr>
          <w:sz w:val="24"/>
          <w:szCs w:val="24"/>
        </w:rPr>
        <w:t xml:space="preserve"> Due to the relatively small number of cases found in some countries and their relative geographical proximity</w:t>
      </w:r>
      <w:r w:rsidR="00C82A8C">
        <w:rPr>
          <w:sz w:val="24"/>
          <w:szCs w:val="24"/>
        </w:rPr>
        <w:t xml:space="preserve"> ‘Australia and New Zealand’,</w:t>
      </w:r>
      <w:r w:rsidR="00973F24">
        <w:rPr>
          <w:sz w:val="24"/>
          <w:szCs w:val="24"/>
        </w:rPr>
        <w:t xml:space="preserve"> ‘Denmark and Finland’ </w:t>
      </w:r>
      <w:r w:rsidR="00C82A8C">
        <w:rPr>
          <w:sz w:val="24"/>
          <w:szCs w:val="24"/>
        </w:rPr>
        <w:t xml:space="preserve">and ‘Germany and the Netherlands’ </w:t>
      </w:r>
      <w:r w:rsidR="00973F24">
        <w:rPr>
          <w:sz w:val="24"/>
          <w:szCs w:val="24"/>
        </w:rPr>
        <w:t xml:space="preserve">are </w:t>
      </w:r>
      <w:r w:rsidR="00AB5033">
        <w:rPr>
          <w:sz w:val="24"/>
          <w:szCs w:val="24"/>
        </w:rPr>
        <w:t>covered</w:t>
      </w:r>
      <w:r w:rsidR="00973F24">
        <w:rPr>
          <w:sz w:val="24"/>
          <w:szCs w:val="24"/>
        </w:rPr>
        <w:t xml:space="preserve"> together. </w:t>
      </w:r>
      <w:r w:rsidR="00237EB1">
        <w:rPr>
          <w:sz w:val="24"/>
          <w:szCs w:val="24"/>
        </w:rPr>
        <w:t xml:space="preserve">We identified </w:t>
      </w:r>
      <w:r w:rsidR="00C82A8C">
        <w:rPr>
          <w:sz w:val="24"/>
          <w:szCs w:val="24"/>
        </w:rPr>
        <w:t>49</w:t>
      </w:r>
      <w:r w:rsidR="00237EB1">
        <w:rPr>
          <w:sz w:val="24"/>
          <w:szCs w:val="24"/>
        </w:rPr>
        <w:t xml:space="preserve"> cases in total. 15 in Australia and New Zealand, 8 in </w:t>
      </w:r>
      <w:r w:rsidR="0043749E">
        <w:rPr>
          <w:sz w:val="24"/>
          <w:szCs w:val="24"/>
        </w:rPr>
        <w:t xml:space="preserve">Denmark and Finland, 6 in France, </w:t>
      </w:r>
      <w:r w:rsidR="00C82A8C">
        <w:rPr>
          <w:sz w:val="24"/>
          <w:szCs w:val="24"/>
        </w:rPr>
        <w:t>8</w:t>
      </w:r>
      <w:r w:rsidR="0043749E">
        <w:rPr>
          <w:sz w:val="24"/>
          <w:szCs w:val="24"/>
        </w:rPr>
        <w:t xml:space="preserve"> in Germany</w:t>
      </w:r>
      <w:r w:rsidR="00C82A8C">
        <w:rPr>
          <w:sz w:val="24"/>
          <w:szCs w:val="24"/>
        </w:rPr>
        <w:t xml:space="preserve"> and</w:t>
      </w:r>
      <w:r w:rsidR="0043749E">
        <w:rPr>
          <w:sz w:val="24"/>
          <w:szCs w:val="24"/>
        </w:rPr>
        <w:t xml:space="preserve"> the Netherlands</w:t>
      </w:r>
      <w:r w:rsidR="00C82A8C">
        <w:rPr>
          <w:sz w:val="24"/>
          <w:szCs w:val="24"/>
        </w:rPr>
        <w:t>,</w:t>
      </w:r>
      <w:r w:rsidR="0043749E">
        <w:rPr>
          <w:sz w:val="24"/>
          <w:szCs w:val="24"/>
        </w:rPr>
        <w:t xml:space="preserve"> and 1</w:t>
      </w:r>
      <w:r w:rsidR="00C82A8C">
        <w:rPr>
          <w:sz w:val="24"/>
          <w:szCs w:val="24"/>
        </w:rPr>
        <w:t>2</w:t>
      </w:r>
      <w:r w:rsidR="0043749E">
        <w:rPr>
          <w:sz w:val="24"/>
          <w:szCs w:val="24"/>
        </w:rPr>
        <w:t xml:space="preserve"> in the UK.</w:t>
      </w:r>
      <w:r w:rsidR="00097EB9">
        <w:rPr>
          <w:sz w:val="24"/>
          <w:szCs w:val="24"/>
        </w:rPr>
        <w:t xml:space="preserve"> </w:t>
      </w:r>
      <w:r w:rsidR="00C82A8C">
        <w:rPr>
          <w:sz w:val="24"/>
          <w:szCs w:val="24"/>
        </w:rPr>
        <w:t xml:space="preserve">The first table in each country section provides an overview of key details of </w:t>
      </w:r>
      <w:r w:rsidR="004D0B5D">
        <w:rPr>
          <w:sz w:val="24"/>
          <w:szCs w:val="24"/>
        </w:rPr>
        <w:t>each mini-public;</w:t>
      </w:r>
      <w:r w:rsidR="00C82A8C">
        <w:rPr>
          <w:sz w:val="24"/>
          <w:szCs w:val="24"/>
        </w:rPr>
        <w:t xml:space="preserve"> the second </w:t>
      </w:r>
      <w:r w:rsidR="004D0B5D">
        <w:rPr>
          <w:sz w:val="24"/>
          <w:szCs w:val="24"/>
        </w:rPr>
        <w:t>how witnesses and evidence were incorporated into the mini-public; and the third covers the impact on the participants, policy and practice.</w:t>
      </w:r>
    </w:p>
    <w:p w:rsidR="0043749E" w:rsidRDefault="0043749E" w:rsidP="00845E3C">
      <w:pPr>
        <w:jc w:val="both"/>
        <w:rPr>
          <w:sz w:val="24"/>
          <w:szCs w:val="24"/>
        </w:rPr>
      </w:pPr>
    </w:p>
    <w:p w:rsidR="00973F24" w:rsidRDefault="00E927B0" w:rsidP="00845E3C">
      <w:pPr>
        <w:jc w:val="both"/>
        <w:rPr>
          <w:b/>
          <w:color w:val="0B5484" w:themeColor="accent1" w:themeShade="80"/>
          <w:sz w:val="28"/>
          <w:szCs w:val="28"/>
        </w:rPr>
      </w:pPr>
      <w:r w:rsidRPr="0029027F">
        <w:rPr>
          <w:b/>
          <w:color w:val="0B5484" w:themeColor="accent1" w:themeShade="80"/>
          <w:sz w:val="28"/>
          <w:szCs w:val="28"/>
        </w:rPr>
        <w:t>Australia and New Zealand</w:t>
      </w:r>
    </w:p>
    <w:p w:rsidR="00DE2792" w:rsidRDefault="00DE2792" w:rsidP="00DE2792">
      <w:pPr>
        <w:jc w:val="both"/>
        <w:rPr>
          <w:b/>
          <w:color w:val="0B5484" w:themeColor="accent1" w:themeShade="80"/>
          <w:sz w:val="24"/>
          <w:szCs w:val="24"/>
        </w:rPr>
      </w:pPr>
      <w:r>
        <w:rPr>
          <w:b/>
          <w:bCs/>
          <w:color w:val="0B5484" w:themeColor="accent1" w:themeShade="80"/>
          <w:sz w:val="24"/>
          <w:szCs w:val="24"/>
        </w:rPr>
        <w:t xml:space="preserve">Table 3: </w:t>
      </w:r>
      <w:r>
        <w:rPr>
          <w:b/>
          <w:color w:val="0B5484" w:themeColor="accent1" w:themeShade="80"/>
          <w:sz w:val="24"/>
          <w:szCs w:val="24"/>
        </w:rPr>
        <w:t xml:space="preserve">Australia and New Zealand: </w:t>
      </w:r>
      <w:r w:rsidRPr="00C82A8C">
        <w:rPr>
          <w:b/>
          <w:bCs/>
          <w:color w:val="0B5484" w:themeColor="accent1" w:themeShade="80"/>
          <w:sz w:val="24"/>
          <w:szCs w:val="24"/>
        </w:rPr>
        <w:t xml:space="preserve">Overview of </w:t>
      </w:r>
      <w:r>
        <w:rPr>
          <w:b/>
          <w:color w:val="0B5484" w:themeColor="accent1" w:themeShade="80"/>
          <w:sz w:val="24"/>
          <w:szCs w:val="24"/>
        </w:rPr>
        <w:t>Mini-Public</w:t>
      </w:r>
      <w:r w:rsidRPr="00C82A8C">
        <w:rPr>
          <w:b/>
          <w:color w:val="0B5484" w:themeColor="accent1" w:themeShade="80"/>
          <w:sz w:val="24"/>
          <w:szCs w:val="24"/>
        </w:rPr>
        <w:t xml:space="preserve"> Cases</w:t>
      </w:r>
    </w:p>
    <w:tbl>
      <w:tblPr>
        <w:tblStyle w:val="TableGrid"/>
        <w:tblW w:w="11199" w:type="dxa"/>
        <w:tblInd w:w="-998" w:type="dxa"/>
        <w:tblLook w:val="04A0" w:firstRow="1" w:lastRow="0" w:firstColumn="1" w:lastColumn="0" w:noHBand="0" w:noVBand="1"/>
      </w:tblPr>
      <w:tblGrid>
        <w:gridCol w:w="509"/>
        <w:gridCol w:w="2995"/>
        <w:gridCol w:w="943"/>
        <w:gridCol w:w="2196"/>
        <w:gridCol w:w="687"/>
        <w:gridCol w:w="950"/>
        <w:gridCol w:w="1233"/>
        <w:gridCol w:w="1686"/>
      </w:tblGrid>
      <w:tr w:rsidR="00C82A8C" w:rsidTr="00A77A90">
        <w:tc>
          <w:tcPr>
            <w:tcW w:w="509" w:type="dxa"/>
          </w:tcPr>
          <w:p w:rsidR="00C82A8C" w:rsidRPr="00C4576A" w:rsidRDefault="00C82A8C" w:rsidP="00A77A90">
            <w:pPr>
              <w:rPr>
                <w:rFonts w:cstheme="minorHAnsi"/>
                <w:b/>
                <w:i/>
                <w:color w:val="0B5484" w:themeColor="accent1" w:themeShade="80"/>
                <w:sz w:val="20"/>
                <w:szCs w:val="20"/>
              </w:rPr>
            </w:pPr>
            <w:r w:rsidRPr="00C4576A">
              <w:rPr>
                <w:rFonts w:cstheme="minorHAnsi"/>
                <w:b/>
                <w:i/>
                <w:color w:val="0B5484" w:themeColor="accent1" w:themeShade="80"/>
                <w:sz w:val="20"/>
                <w:szCs w:val="20"/>
              </w:rPr>
              <w:t>No.</w:t>
            </w:r>
          </w:p>
        </w:tc>
        <w:tc>
          <w:tcPr>
            <w:tcW w:w="3018" w:type="dxa"/>
          </w:tcPr>
          <w:p w:rsidR="00C82A8C" w:rsidRPr="00C4576A" w:rsidRDefault="00C82A8C" w:rsidP="00A77A90">
            <w:pPr>
              <w:rPr>
                <w:rFonts w:cstheme="minorHAnsi"/>
                <w:b/>
                <w:i/>
                <w:color w:val="0B5484" w:themeColor="accent1" w:themeShade="80"/>
                <w:sz w:val="20"/>
                <w:szCs w:val="20"/>
              </w:rPr>
            </w:pPr>
            <w:r w:rsidRPr="00C4576A">
              <w:rPr>
                <w:rFonts w:cstheme="minorHAnsi"/>
                <w:b/>
                <w:i/>
                <w:color w:val="0B5484" w:themeColor="accent1" w:themeShade="80"/>
                <w:sz w:val="20"/>
                <w:szCs w:val="20"/>
              </w:rPr>
              <w:t>Case</w:t>
            </w:r>
          </w:p>
        </w:tc>
        <w:tc>
          <w:tcPr>
            <w:tcW w:w="946" w:type="dxa"/>
          </w:tcPr>
          <w:p w:rsidR="00C82A8C" w:rsidRPr="00C4576A" w:rsidRDefault="00C82A8C" w:rsidP="00A77A90">
            <w:pPr>
              <w:rPr>
                <w:rFonts w:cstheme="minorHAnsi"/>
                <w:b/>
                <w:i/>
                <w:color w:val="0B5484" w:themeColor="accent1" w:themeShade="80"/>
                <w:sz w:val="20"/>
                <w:szCs w:val="20"/>
              </w:rPr>
            </w:pPr>
            <w:r w:rsidRPr="00C4576A">
              <w:rPr>
                <w:rFonts w:cstheme="minorHAnsi"/>
                <w:b/>
                <w:i/>
                <w:color w:val="0B5484" w:themeColor="accent1" w:themeShade="80"/>
                <w:sz w:val="20"/>
                <w:szCs w:val="20"/>
              </w:rPr>
              <w:t>Mini-Public</w:t>
            </w:r>
          </w:p>
        </w:tc>
        <w:tc>
          <w:tcPr>
            <w:tcW w:w="2146" w:type="dxa"/>
          </w:tcPr>
          <w:p w:rsidR="00C82A8C" w:rsidRPr="00C4576A" w:rsidRDefault="00C82A8C" w:rsidP="00A77A90">
            <w:pPr>
              <w:rPr>
                <w:rFonts w:cstheme="minorHAnsi"/>
                <w:b/>
                <w:i/>
                <w:color w:val="0B5484" w:themeColor="accent1" w:themeShade="80"/>
                <w:sz w:val="20"/>
                <w:szCs w:val="20"/>
              </w:rPr>
            </w:pPr>
            <w:r w:rsidRPr="00C4576A">
              <w:rPr>
                <w:rFonts w:cstheme="minorHAnsi"/>
                <w:b/>
                <w:i/>
                <w:color w:val="0B5484" w:themeColor="accent1" w:themeShade="80"/>
                <w:sz w:val="20"/>
                <w:szCs w:val="20"/>
              </w:rPr>
              <w:t>Location</w:t>
            </w:r>
          </w:p>
        </w:tc>
        <w:tc>
          <w:tcPr>
            <w:tcW w:w="688" w:type="dxa"/>
          </w:tcPr>
          <w:p w:rsidR="00C82A8C" w:rsidRPr="00C4576A" w:rsidRDefault="00C82A8C" w:rsidP="00A77A90">
            <w:pPr>
              <w:rPr>
                <w:rFonts w:cstheme="minorHAnsi"/>
                <w:b/>
                <w:i/>
                <w:color w:val="0B5484" w:themeColor="accent1" w:themeShade="80"/>
                <w:sz w:val="20"/>
                <w:szCs w:val="20"/>
              </w:rPr>
            </w:pPr>
            <w:r w:rsidRPr="00C4576A">
              <w:rPr>
                <w:rFonts w:cstheme="minorHAnsi"/>
                <w:b/>
                <w:i/>
                <w:color w:val="0B5484" w:themeColor="accent1" w:themeShade="80"/>
                <w:sz w:val="20"/>
                <w:szCs w:val="20"/>
              </w:rPr>
              <w:t>Date</w:t>
            </w:r>
          </w:p>
        </w:tc>
        <w:tc>
          <w:tcPr>
            <w:tcW w:w="953" w:type="dxa"/>
          </w:tcPr>
          <w:p w:rsidR="00C82A8C" w:rsidRPr="00C4576A" w:rsidRDefault="00C82A8C" w:rsidP="00A77A90">
            <w:pPr>
              <w:rPr>
                <w:rFonts w:cstheme="minorHAnsi"/>
                <w:b/>
                <w:i/>
                <w:color w:val="0B5484" w:themeColor="accent1" w:themeShade="80"/>
                <w:sz w:val="20"/>
                <w:szCs w:val="20"/>
              </w:rPr>
            </w:pPr>
            <w:r w:rsidRPr="00C4576A">
              <w:rPr>
                <w:rFonts w:cstheme="minorHAnsi"/>
                <w:b/>
                <w:i/>
                <w:color w:val="0B5484" w:themeColor="accent1" w:themeShade="80"/>
                <w:sz w:val="20"/>
                <w:szCs w:val="20"/>
              </w:rPr>
              <w:t>Duration</w:t>
            </w:r>
          </w:p>
        </w:tc>
        <w:tc>
          <w:tcPr>
            <w:tcW w:w="1238" w:type="dxa"/>
          </w:tcPr>
          <w:p w:rsidR="00C82A8C" w:rsidRPr="00C4576A" w:rsidRDefault="00C82A8C" w:rsidP="00A77A90">
            <w:pPr>
              <w:rPr>
                <w:rFonts w:cstheme="minorHAnsi"/>
                <w:b/>
                <w:i/>
                <w:color w:val="0B5484" w:themeColor="accent1" w:themeShade="80"/>
                <w:sz w:val="20"/>
                <w:szCs w:val="20"/>
              </w:rPr>
            </w:pPr>
            <w:r w:rsidRPr="00C4576A">
              <w:rPr>
                <w:rFonts w:cstheme="minorHAnsi"/>
                <w:b/>
                <w:i/>
                <w:color w:val="0B5484" w:themeColor="accent1" w:themeShade="80"/>
                <w:sz w:val="20"/>
                <w:szCs w:val="20"/>
              </w:rPr>
              <w:t>No. Participants</w:t>
            </w:r>
          </w:p>
        </w:tc>
        <w:tc>
          <w:tcPr>
            <w:tcW w:w="1701" w:type="dxa"/>
          </w:tcPr>
          <w:p w:rsidR="00C82A8C" w:rsidRPr="00C4576A" w:rsidRDefault="00C82A8C" w:rsidP="00A77A90">
            <w:pPr>
              <w:rPr>
                <w:rFonts w:cstheme="minorHAnsi"/>
                <w:b/>
                <w:i/>
                <w:color w:val="0B5484" w:themeColor="accent1" w:themeShade="80"/>
                <w:sz w:val="20"/>
                <w:szCs w:val="20"/>
              </w:rPr>
            </w:pPr>
            <w:r w:rsidRPr="00C4576A">
              <w:rPr>
                <w:rFonts w:cstheme="minorHAnsi"/>
                <w:b/>
                <w:i/>
                <w:color w:val="0B5484" w:themeColor="accent1" w:themeShade="80"/>
                <w:sz w:val="20"/>
                <w:szCs w:val="20"/>
              </w:rPr>
              <w:t>Sampling Method</w:t>
            </w:r>
          </w:p>
        </w:tc>
      </w:tr>
      <w:tr w:rsidR="00C82A8C" w:rsidTr="00A77A90">
        <w:tc>
          <w:tcPr>
            <w:tcW w:w="509" w:type="dxa"/>
            <w:vAlign w:val="center"/>
          </w:tcPr>
          <w:p w:rsidR="00C82A8C" w:rsidRPr="00C4576A" w:rsidRDefault="00C82A8C" w:rsidP="00A77A90">
            <w:pPr>
              <w:rPr>
                <w:rFonts w:cstheme="minorHAnsi"/>
                <w:b/>
                <w:i/>
                <w:color w:val="0B5484" w:themeColor="accent1" w:themeShade="80"/>
                <w:sz w:val="20"/>
                <w:szCs w:val="20"/>
              </w:rPr>
            </w:pPr>
            <w:r w:rsidRPr="00C4576A">
              <w:rPr>
                <w:rFonts w:cstheme="minorHAnsi"/>
                <w:b/>
                <w:i/>
                <w:color w:val="0B5484" w:themeColor="accent1" w:themeShade="80"/>
                <w:sz w:val="20"/>
                <w:szCs w:val="20"/>
              </w:rPr>
              <w:t>1</w:t>
            </w:r>
          </w:p>
        </w:tc>
        <w:tc>
          <w:tcPr>
            <w:tcW w:w="3018" w:type="dxa"/>
            <w:tcBorders>
              <w:top w:val="single" w:sz="4" w:space="0" w:color="auto"/>
              <w:left w:val="single" w:sz="4" w:space="0" w:color="auto"/>
              <w:bottom w:val="single" w:sz="4" w:space="0" w:color="auto"/>
              <w:right w:val="single" w:sz="4" w:space="0" w:color="auto"/>
            </w:tcBorders>
            <w:shd w:val="clear" w:color="auto" w:fill="auto"/>
            <w:vAlign w:val="center"/>
          </w:tcPr>
          <w:p w:rsidR="00C82A8C" w:rsidRPr="00A03C35" w:rsidRDefault="00C82A8C" w:rsidP="00A77A90">
            <w:pPr>
              <w:rPr>
                <w:rFonts w:cstheme="minorHAnsi"/>
                <w:color w:val="000000"/>
                <w:sz w:val="20"/>
                <w:szCs w:val="20"/>
              </w:rPr>
            </w:pPr>
            <w:r w:rsidRPr="00A03C35">
              <w:rPr>
                <w:rFonts w:cstheme="minorHAnsi"/>
                <w:color w:val="000000"/>
                <w:sz w:val="20"/>
                <w:szCs w:val="20"/>
              </w:rPr>
              <w:t>Population screening for breast cancer</w:t>
            </w:r>
          </w:p>
        </w:tc>
        <w:tc>
          <w:tcPr>
            <w:tcW w:w="946" w:type="dxa"/>
            <w:tcBorders>
              <w:top w:val="single" w:sz="4" w:space="0" w:color="auto"/>
              <w:left w:val="single" w:sz="4" w:space="0" w:color="auto"/>
              <w:bottom w:val="single" w:sz="4" w:space="0" w:color="auto"/>
              <w:right w:val="single" w:sz="4" w:space="0" w:color="auto"/>
            </w:tcBorders>
            <w:shd w:val="clear" w:color="000000" w:fill="FFFFFF"/>
            <w:vAlign w:val="center"/>
          </w:tcPr>
          <w:p w:rsidR="00C82A8C" w:rsidRPr="00A03C35" w:rsidRDefault="00C82A8C" w:rsidP="00A77A90">
            <w:pPr>
              <w:rPr>
                <w:rFonts w:cstheme="minorHAnsi"/>
                <w:color w:val="262626"/>
                <w:sz w:val="20"/>
                <w:szCs w:val="20"/>
              </w:rPr>
            </w:pPr>
            <w:r w:rsidRPr="00A03C35">
              <w:rPr>
                <w:rFonts w:cstheme="minorHAnsi"/>
                <w:color w:val="262626"/>
                <w:sz w:val="20"/>
                <w:szCs w:val="20"/>
              </w:rPr>
              <w:t>Citizens' Jury</w:t>
            </w:r>
          </w:p>
        </w:tc>
        <w:tc>
          <w:tcPr>
            <w:tcW w:w="2146" w:type="dxa"/>
            <w:tcBorders>
              <w:top w:val="single" w:sz="4" w:space="0" w:color="auto"/>
              <w:left w:val="single" w:sz="4" w:space="0" w:color="auto"/>
              <w:bottom w:val="single" w:sz="4" w:space="0" w:color="auto"/>
              <w:right w:val="single" w:sz="4" w:space="0" w:color="auto"/>
            </w:tcBorders>
            <w:shd w:val="clear" w:color="auto" w:fill="auto"/>
            <w:vAlign w:val="center"/>
          </w:tcPr>
          <w:p w:rsidR="00C82A8C" w:rsidRPr="00A03C35" w:rsidRDefault="00C82A8C" w:rsidP="00A77A90">
            <w:pPr>
              <w:rPr>
                <w:rFonts w:cstheme="minorHAnsi"/>
                <w:color w:val="000000"/>
                <w:sz w:val="20"/>
                <w:szCs w:val="20"/>
              </w:rPr>
            </w:pPr>
            <w:r w:rsidRPr="00A03C35">
              <w:rPr>
                <w:rFonts w:cstheme="minorHAnsi"/>
                <w:color w:val="000000"/>
                <w:sz w:val="20"/>
                <w:szCs w:val="20"/>
              </w:rPr>
              <w:t>Otago</w:t>
            </w:r>
          </w:p>
        </w:tc>
        <w:tc>
          <w:tcPr>
            <w:tcW w:w="688" w:type="dxa"/>
            <w:tcBorders>
              <w:top w:val="single" w:sz="4" w:space="0" w:color="auto"/>
              <w:left w:val="single" w:sz="4" w:space="0" w:color="auto"/>
              <w:bottom w:val="single" w:sz="4" w:space="0" w:color="auto"/>
              <w:right w:val="single" w:sz="4" w:space="0" w:color="auto"/>
            </w:tcBorders>
            <w:shd w:val="clear" w:color="auto" w:fill="auto"/>
            <w:vAlign w:val="center"/>
          </w:tcPr>
          <w:p w:rsidR="00C82A8C" w:rsidRPr="00A03C35" w:rsidRDefault="00C82A8C" w:rsidP="00A77A90">
            <w:pPr>
              <w:rPr>
                <w:rFonts w:cstheme="minorHAnsi"/>
                <w:color w:val="000000"/>
                <w:sz w:val="20"/>
                <w:szCs w:val="20"/>
              </w:rPr>
            </w:pPr>
            <w:r w:rsidRPr="00A03C35">
              <w:rPr>
                <w:rFonts w:cstheme="minorHAnsi"/>
                <w:color w:val="000000"/>
                <w:sz w:val="20"/>
                <w:szCs w:val="20"/>
              </w:rPr>
              <w:t>2007</w:t>
            </w:r>
          </w:p>
        </w:tc>
        <w:tc>
          <w:tcPr>
            <w:tcW w:w="953" w:type="dxa"/>
            <w:tcBorders>
              <w:top w:val="single" w:sz="4" w:space="0" w:color="auto"/>
              <w:left w:val="single" w:sz="4" w:space="0" w:color="auto"/>
              <w:bottom w:val="single" w:sz="4" w:space="0" w:color="auto"/>
              <w:right w:val="single" w:sz="4" w:space="0" w:color="auto"/>
            </w:tcBorders>
            <w:shd w:val="clear" w:color="auto" w:fill="auto"/>
            <w:vAlign w:val="center"/>
          </w:tcPr>
          <w:p w:rsidR="00C82A8C" w:rsidRPr="00A03C35" w:rsidRDefault="00C82A8C" w:rsidP="00A77A90">
            <w:pPr>
              <w:rPr>
                <w:rFonts w:cstheme="minorHAnsi"/>
                <w:color w:val="000000"/>
                <w:sz w:val="20"/>
                <w:szCs w:val="20"/>
              </w:rPr>
            </w:pPr>
            <w:r w:rsidRPr="00A03C35">
              <w:rPr>
                <w:rFonts w:cstheme="minorHAnsi"/>
                <w:color w:val="000000"/>
                <w:sz w:val="20"/>
                <w:szCs w:val="20"/>
              </w:rPr>
              <w:t>2 days</w:t>
            </w: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C82A8C" w:rsidRPr="00A03C35" w:rsidRDefault="00C82A8C" w:rsidP="00A77A90">
            <w:pPr>
              <w:rPr>
                <w:rFonts w:cstheme="minorHAnsi"/>
                <w:color w:val="000000"/>
                <w:sz w:val="20"/>
                <w:szCs w:val="20"/>
              </w:rPr>
            </w:pPr>
            <w:r w:rsidRPr="00A03C35">
              <w:rPr>
                <w:rFonts w:cstheme="minorHAnsi"/>
                <w:color w:val="000000"/>
                <w:sz w:val="20"/>
                <w:szCs w:val="20"/>
              </w:rPr>
              <w:t>11</w:t>
            </w:r>
          </w:p>
        </w:tc>
        <w:tc>
          <w:tcPr>
            <w:tcW w:w="1701" w:type="dxa"/>
            <w:vAlign w:val="center"/>
          </w:tcPr>
          <w:p w:rsidR="00C82A8C" w:rsidRPr="00A03C35" w:rsidRDefault="00C82A8C" w:rsidP="00A77A90">
            <w:pPr>
              <w:rPr>
                <w:rFonts w:cstheme="minorHAnsi"/>
                <w:color w:val="000000"/>
                <w:sz w:val="20"/>
                <w:szCs w:val="20"/>
              </w:rPr>
            </w:pPr>
            <w:r w:rsidRPr="00A03C35">
              <w:rPr>
                <w:rFonts w:cstheme="minorHAnsi"/>
                <w:color w:val="000000"/>
                <w:sz w:val="20"/>
                <w:szCs w:val="20"/>
              </w:rPr>
              <w:t>Stratification</w:t>
            </w:r>
          </w:p>
        </w:tc>
      </w:tr>
      <w:tr w:rsidR="00C82A8C" w:rsidTr="00A77A90">
        <w:tc>
          <w:tcPr>
            <w:tcW w:w="509" w:type="dxa"/>
            <w:vAlign w:val="center"/>
          </w:tcPr>
          <w:p w:rsidR="00C82A8C" w:rsidRPr="00C4576A" w:rsidRDefault="00C82A8C" w:rsidP="00A77A90">
            <w:pPr>
              <w:rPr>
                <w:rFonts w:cstheme="minorHAnsi"/>
                <w:b/>
                <w:i/>
                <w:color w:val="0B5484" w:themeColor="accent1" w:themeShade="80"/>
                <w:sz w:val="20"/>
                <w:szCs w:val="20"/>
              </w:rPr>
            </w:pPr>
            <w:r w:rsidRPr="00C4576A">
              <w:rPr>
                <w:rFonts w:cstheme="minorHAnsi"/>
                <w:b/>
                <w:i/>
                <w:color w:val="0B5484" w:themeColor="accent1" w:themeShade="80"/>
                <w:sz w:val="20"/>
                <w:szCs w:val="20"/>
              </w:rPr>
              <w:t>2</w:t>
            </w:r>
          </w:p>
        </w:tc>
        <w:tc>
          <w:tcPr>
            <w:tcW w:w="3018" w:type="dxa"/>
            <w:tcBorders>
              <w:top w:val="nil"/>
              <w:left w:val="single" w:sz="4" w:space="0" w:color="auto"/>
              <w:bottom w:val="single" w:sz="4" w:space="0" w:color="auto"/>
              <w:right w:val="single" w:sz="4" w:space="0" w:color="auto"/>
            </w:tcBorders>
            <w:shd w:val="clear" w:color="auto" w:fill="auto"/>
            <w:vAlign w:val="center"/>
          </w:tcPr>
          <w:p w:rsidR="00C82A8C" w:rsidRPr="00A03C35" w:rsidRDefault="00C82A8C" w:rsidP="00A77A90">
            <w:pPr>
              <w:rPr>
                <w:rFonts w:cstheme="minorHAnsi"/>
                <w:color w:val="000000"/>
                <w:sz w:val="20"/>
                <w:szCs w:val="20"/>
              </w:rPr>
            </w:pPr>
            <w:r w:rsidRPr="00A03C35">
              <w:rPr>
                <w:rFonts w:cstheme="minorHAnsi"/>
                <w:color w:val="000000"/>
                <w:sz w:val="20"/>
                <w:szCs w:val="20"/>
              </w:rPr>
              <w:t>Pandemic planning</w:t>
            </w:r>
          </w:p>
        </w:tc>
        <w:tc>
          <w:tcPr>
            <w:tcW w:w="946" w:type="dxa"/>
            <w:tcBorders>
              <w:top w:val="nil"/>
              <w:left w:val="single" w:sz="4" w:space="0" w:color="auto"/>
              <w:bottom w:val="single" w:sz="4" w:space="0" w:color="auto"/>
              <w:right w:val="single" w:sz="4" w:space="0" w:color="auto"/>
            </w:tcBorders>
            <w:shd w:val="clear" w:color="000000" w:fill="FFFFFF"/>
            <w:vAlign w:val="center"/>
          </w:tcPr>
          <w:p w:rsidR="00C82A8C" w:rsidRPr="00A03C35" w:rsidRDefault="00C82A8C" w:rsidP="00A77A90">
            <w:pPr>
              <w:rPr>
                <w:rFonts w:cstheme="minorHAnsi"/>
                <w:color w:val="262626"/>
                <w:sz w:val="20"/>
                <w:szCs w:val="20"/>
              </w:rPr>
            </w:pPr>
            <w:r w:rsidRPr="00A03C35">
              <w:rPr>
                <w:rFonts w:cstheme="minorHAnsi"/>
                <w:color w:val="262626"/>
                <w:sz w:val="20"/>
                <w:szCs w:val="20"/>
              </w:rPr>
              <w:t>Citizens' Jury</w:t>
            </w:r>
          </w:p>
        </w:tc>
        <w:tc>
          <w:tcPr>
            <w:tcW w:w="2146" w:type="dxa"/>
            <w:tcBorders>
              <w:top w:val="nil"/>
              <w:left w:val="single" w:sz="4" w:space="0" w:color="auto"/>
              <w:bottom w:val="single" w:sz="4" w:space="0" w:color="auto"/>
              <w:right w:val="single" w:sz="4" w:space="0" w:color="auto"/>
            </w:tcBorders>
            <w:shd w:val="clear" w:color="auto" w:fill="auto"/>
            <w:vAlign w:val="center"/>
          </w:tcPr>
          <w:p w:rsidR="00C82A8C" w:rsidRPr="00A03C35" w:rsidRDefault="00C82A8C" w:rsidP="00A77A90">
            <w:pPr>
              <w:rPr>
                <w:rFonts w:cstheme="minorHAnsi"/>
                <w:color w:val="000000"/>
                <w:sz w:val="20"/>
                <w:szCs w:val="20"/>
              </w:rPr>
            </w:pPr>
            <w:r w:rsidRPr="00A03C35">
              <w:rPr>
                <w:rFonts w:cstheme="minorHAnsi"/>
                <w:color w:val="000000"/>
                <w:sz w:val="20"/>
                <w:szCs w:val="20"/>
              </w:rPr>
              <w:t>Adelaide</w:t>
            </w:r>
          </w:p>
        </w:tc>
        <w:tc>
          <w:tcPr>
            <w:tcW w:w="688" w:type="dxa"/>
            <w:tcBorders>
              <w:top w:val="nil"/>
              <w:left w:val="single" w:sz="4" w:space="0" w:color="auto"/>
              <w:bottom w:val="single" w:sz="4" w:space="0" w:color="auto"/>
              <w:right w:val="single" w:sz="4" w:space="0" w:color="auto"/>
            </w:tcBorders>
            <w:shd w:val="clear" w:color="auto" w:fill="auto"/>
            <w:vAlign w:val="center"/>
          </w:tcPr>
          <w:p w:rsidR="00C82A8C" w:rsidRPr="00A03C35" w:rsidRDefault="00C82A8C" w:rsidP="00A77A90">
            <w:pPr>
              <w:rPr>
                <w:rFonts w:cstheme="minorHAnsi"/>
                <w:color w:val="000000"/>
                <w:sz w:val="20"/>
                <w:szCs w:val="20"/>
              </w:rPr>
            </w:pPr>
            <w:r w:rsidRPr="00A03C35">
              <w:rPr>
                <w:rFonts w:cstheme="minorHAnsi"/>
                <w:color w:val="000000"/>
                <w:sz w:val="20"/>
                <w:szCs w:val="20"/>
              </w:rPr>
              <w:t>2008</w:t>
            </w:r>
          </w:p>
        </w:tc>
        <w:tc>
          <w:tcPr>
            <w:tcW w:w="953" w:type="dxa"/>
            <w:tcBorders>
              <w:top w:val="nil"/>
              <w:left w:val="single" w:sz="4" w:space="0" w:color="auto"/>
              <w:bottom w:val="single" w:sz="4" w:space="0" w:color="auto"/>
              <w:right w:val="single" w:sz="4" w:space="0" w:color="auto"/>
            </w:tcBorders>
            <w:shd w:val="clear" w:color="auto" w:fill="auto"/>
            <w:vAlign w:val="center"/>
          </w:tcPr>
          <w:p w:rsidR="00C82A8C" w:rsidRPr="00A03C35" w:rsidRDefault="00C82A8C" w:rsidP="00A77A90">
            <w:pPr>
              <w:rPr>
                <w:rFonts w:cstheme="minorHAnsi"/>
                <w:color w:val="000000"/>
                <w:sz w:val="20"/>
                <w:szCs w:val="20"/>
              </w:rPr>
            </w:pPr>
            <w:r w:rsidRPr="00A03C35">
              <w:rPr>
                <w:rFonts w:cstheme="minorHAnsi"/>
                <w:color w:val="000000"/>
                <w:sz w:val="20"/>
                <w:szCs w:val="20"/>
              </w:rPr>
              <w:t>3 days</w:t>
            </w:r>
          </w:p>
        </w:tc>
        <w:tc>
          <w:tcPr>
            <w:tcW w:w="1238" w:type="dxa"/>
            <w:tcBorders>
              <w:top w:val="nil"/>
              <w:left w:val="single" w:sz="4" w:space="0" w:color="auto"/>
              <w:bottom w:val="single" w:sz="4" w:space="0" w:color="auto"/>
              <w:right w:val="single" w:sz="4" w:space="0" w:color="auto"/>
            </w:tcBorders>
            <w:shd w:val="clear" w:color="auto" w:fill="auto"/>
            <w:vAlign w:val="center"/>
          </w:tcPr>
          <w:p w:rsidR="00C82A8C" w:rsidRPr="00A03C35" w:rsidRDefault="00C82A8C" w:rsidP="00A77A90">
            <w:pPr>
              <w:rPr>
                <w:rFonts w:cstheme="minorHAnsi"/>
                <w:color w:val="000000"/>
                <w:sz w:val="20"/>
                <w:szCs w:val="20"/>
              </w:rPr>
            </w:pPr>
            <w:r w:rsidRPr="00A03C35">
              <w:rPr>
                <w:rFonts w:cstheme="minorHAnsi"/>
                <w:color w:val="000000"/>
                <w:sz w:val="20"/>
                <w:szCs w:val="20"/>
              </w:rPr>
              <w:t>21</w:t>
            </w:r>
          </w:p>
        </w:tc>
        <w:tc>
          <w:tcPr>
            <w:tcW w:w="1701" w:type="dxa"/>
            <w:vAlign w:val="center"/>
          </w:tcPr>
          <w:p w:rsidR="00C82A8C" w:rsidRPr="00A03C35" w:rsidRDefault="00C82A8C" w:rsidP="00A77A90">
            <w:pPr>
              <w:rPr>
                <w:rFonts w:cstheme="minorHAnsi"/>
                <w:color w:val="000000"/>
                <w:sz w:val="20"/>
                <w:szCs w:val="20"/>
              </w:rPr>
            </w:pPr>
            <w:r w:rsidRPr="00A03C35">
              <w:rPr>
                <w:rFonts w:cstheme="minorHAnsi"/>
                <w:color w:val="000000"/>
                <w:sz w:val="20"/>
                <w:szCs w:val="20"/>
              </w:rPr>
              <w:t>Stratification</w:t>
            </w:r>
          </w:p>
        </w:tc>
      </w:tr>
      <w:tr w:rsidR="00C82A8C" w:rsidTr="00A77A90">
        <w:tc>
          <w:tcPr>
            <w:tcW w:w="509" w:type="dxa"/>
            <w:vAlign w:val="center"/>
          </w:tcPr>
          <w:p w:rsidR="00C82A8C" w:rsidRPr="00C4576A" w:rsidRDefault="00C82A8C" w:rsidP="00A77A90">
            <w:pPr>
              <w:rPr>
                <w:rFonts w:cstheme="minorHAnsi"/>
                <w:b/>
                <w:i/>
                <w:color w:val="0B5484" w:themeColor="accent1" w:themeShade="80"/>
                <w:sz w:val="20"/>
                <w:szCs w:val="20"/>
              </w:rPr>
            </w:pPr>
            <w:r w:rsidRPr="00C4576A">
              <w:rPr>
                <w:rFonts w:cstheme="minorHAnsi"/>
                <w:b/>
                <w:i/>
                <w:color w:val="0B5484" w:themeColor="accent1" w:themeShade="80"/>
                <w:sz w:val="20"/>
                <w:szCs w:val="20"/>
              </w:rPr>
              <w:t>3</w:t>
            </w:r>
          </w:p>
        </w:tc>
        <w:tc>
          <w:tcPr>
            <w:tcW w:w="3018" w:type="dxa"/>
            <w:tcBorders>
              <w:top w:val="nil"/>
              <w:left w:val="single" w:sz="4" w:space="0" w:color="auto"/>
              <w:bottom w:val="single" w:sz="4" w:space="0" w:color="auto"/>
              <w:right w:val="single" w:sz="4" w:space="0" w:color="auto"/>
            </w:tcBorders>
            <w:shd w:val="clear" w:color="auto" w:fill="auto"/>
            <w:vAlign w:val="center"/>
          </w:tcPr>
          <w:p w:rsidR="00C82A8C" w:rsidRPr="00A03C35" w:rsidRDefault="00C82A8C" w:rsidP="00A77A90">
            <w:pPr>
              <w:rPr>
                <w:rFonts w:cstheme="minorHAnsi"/>
                <w:color w:val="000000"/>
                <w:sz w:val="20"/>
                <w:szCs w:val="20"/>
              </w:rPr>
            </w:pPr>
            <w:r w:rsidRPr="00A03C35">
              <w:rPr>
                <w:rFonts w:cstheme="minorHAnsi"/>
                <w:color w:val="000000"/>
                <w:sz w:val="20"/>
                <w:szCs w:val="20"/>
              </w:rPr>
              <w:t xml:space="preserve">Medical information for </w:t>
            </w:r>
            <w:proofErr w:type="spellStart"/>
            <w:r w:rsidRPr="00A03C35">
              <w:rPr>
                <w:rFonts w:cstheme="minorHAnsi"/>
                <w:color w:val="000000"/>
                <w:sz w:val="20"/>
                <w:szCs w:val="20"/>
              </w:rPr>
              <w:t>pharmacoepidemiological</w:t>
            </w:r>
            <w:proofErr w:type="spellEnd"/>
            <w:r w:rsidRPr="00A03C35">
              <w:rPr>
                <w:rFonts w:cstheme="minorHAnsi"/>
                <w:color w:val="000000"/>
                <w:sz w:val="20"/>
                <w:szCs w:val="20"/>
              </w:rPr>
              <w:t xml:space="preserve"> research</w:t>
            </w:r>
          </w:p>
        </w:tc>
        <w:tc>
          <w:tcPr>
            <w:tcW w:w="946" w:type="dxa"/>
            <w:tcBorders>
              <w:top w:val="nil"/>
              <w:left w:val="single" w:sz="4" w:space="0" w:color="auto"/>
              <w:bottom w:val="single" w:sz="4" w:space="0" w:color="auto"/>
              <w:right w:val="single" w:sz="4" w:space="0" w:color="auto"/>
            </w:tcBorders>
            <w:shd w:val="clear" w:color="000000" w:fill="FFFFFF"/>
            <w:vAlign w:val="center"/>
          </w:tcPr>
          <w:p w:rsidR="00C82A8C" w:rsidRPr="00A03C35" w:rsidRDefault="00C82A8C" w:rsidP="00A77A90">
            <w:pPr>
              <w:rPr>
                <w:rFonts w:cstheme="minorHAnsi"/>
                <w:color w:val="262626"/>
                <w:sz w:val="20"/>
                <w:szCs w:val="20"/>
              </w:rPr>
            </w:pPr>
            <w:r w:rsidRPr="00A03C35">
              <w:rPr>
                <w:rFonts w:cstheme="minorHAnsi"/>
                <w:color w:val="262626"/>
                <w:sz w:val="20"/>
                <w:szCs w:val="20"/>
              </w:rPr>
              <w:t>Citizens' Jury</w:t>
            </w:r>
          </w:p>
        </w:tc>
        <w:tc>
          <w:tcPr>
            <w:tcW w:w="2146" w:type="dxa"/>
            <w:tcBorders>
              <w:top w:val="nil"/>
              <w:left w:val="single" w:sz="4" w:space="0" w:color="auto"/>
              <w:bottom w:val="single" w:sz="4" w:space="0" w:color="auto"/>
              <w:right w:val="single" w:sz="4" w:space="0" w:color="auto"/>
            </w:tcBorders>
            <w:shd w:val="clear" w:color="auto" w:fill="auto"/>
            <w:vAlign w:val="center"/>
          </w:tcPr>
          <w:p w:rsidR="00C82A8C" w:rsidRPr="00A03C35" w:rsidRDefault="00C82A8C" w:rsidP="00A77A90">
            <w:pPr>
              <w:rPr>
                <w:rFonts w:cstheme="minorHAnsi"/>
                <w:color w:val="000000"/>
                <w:sz w:val="20"/>
                <w:szCs w:val="20"/>
              </w:rPr>
            </w:pPr>
            <w:r w:rsidRPr="00A03C35">
              <w:rPr>
                <w:rFonts w:cstheme="minorHAnsi"/>
                <w:color w:val="000000"/>
                <w:sz w:val="20"/>
                <w:szCs w:val="20"/>
              </w:rPr>
              <w:t>Otago</w:t>
            </w:r>
          </w:p>
        </w:tc>
        <w:tc>
          <w:tcPr>
            <w:tcW w:w="688" w:type="dxa"/>
            <w:tcBorders>
              <w:top w:val="nil"/>
              <w:left w:val="single" w:sz="4" w:space="0" w:color="auto"/>
              <w:bottom w:val="single" w:sz="4" w:space="0" w:color="auto"/>
              <w:right w:val="single" w:sz="4" w:space="0" w:color="auto"/>
            </w:tcBorders>
            <w:shd w:val="clear" w:color="auto" w:fill="auto"/>
            <w:vAlign w:val="center"/>
          </w:tcPr>
          <w:p w:rsidR="00C82A8C" w:rsidRPr="00A03C35" w:rsidRDefault="00C82A8C" w:rsidP="00A77A90">
            <w:pPr>
              <w:rPr>
                <w:rFonts w:cstheme="minorHAnsi"/>
                <w:color w:val="000000"/>
                <w:sz w:val="20"/>
                <w:szCs w:val="20"/>
              </w:rPr>
            </w:pPr>
            <w:r w:rsidRPr="00A03C35">
              <w:rPr>
                <w:rFonts w:cstheme="minorHAnsi"/>
                <w:color w:val="000000"/>
                <w:sz w:val="20"/>
                <w:szCs w:val="20"/>
              </w:rPr>
              <w:t>2009</w:t>
            </w:r>
          </w:p>
        </w:tc>
        <w:tc>
          <w:tcPr>
            <w:tcW w:w="953" w:type="dxa"/>
            <w:tcBorders>
              <w:top w:val="nil"/>
              <w:left w:val="single" w:sz="4" w:space="0" w:color="auto"/>
              <w:bottom w:val="single" w:sz="4" w:space="0" w:color="auto"/>
              <w:right w:val="single" w:sz="4" w:space="0" w:color="auto"/>
            </w:tcBorders>
            <w:shd w:val="clear" w:color="auto" w:fill="auto"/>
            <w:vAlign w:val="center"/>
          </w:tcPr>
          <w:p w:rsidR="00C82A8C" w:rsidRPr="00A03C35" w:rsidRDefault="00C82A8C" w:rsidP="00A77A90">
            <w:pPr>
              <w:rPr>
                <w:rFonts w:cstheme="minorHAnsi"/>
                <w:color w:val="000000"/>
                <w:sz w:val="20"/>
                <w:szCs w:val="20"/>
              </w:rPr>
            </w:pPr>
            <w:r w:rsidRPr="00A03C35">
              <w:rPr>
                <w:rFonts w:cstheme="minorHAnsi"/>
                <w:color w:val="000000"/>
                <w:sz w:val="20"/>
                <w:szCs w:val="20"/>
              </w:rPr>
              <w:t>3 days</w:t>
            </w:r>
          </w:p>
        </w:tc>
        <w:tc>
          <w:tcPr>
            <w:tcW w:w="1238" w:type="dxa"/>
            <w:tcBorders>
              <w:top w:val="nil"/>
              <w:left w:val="single" w:sz="4" w:space="0" w:color="auto"/>
              <w:bottom w:val="single" w:sz="4" w:space="0" w:color="auto"/>
              <w:right w:val="single" w:sz="4" w:space="0" w:color="auto"/>
            </w:tcBorders>
            <w:shd w:val="clear" w:color="auto" w:fill="auto"/>
            <w:vAlign w:val="center"/>
          </w:tcPr>
          <w:p w:rsidR="00C82A8C" w:rsidRPr="00A03C35" w:rsidRDefault="00C82A8C" w:rsidP="00A77A90">
            <w:pPr>
              <w:rPr>
                <w:rFonts w:cstheme="minorHAnsi"/>
                <w:color w:val="000000"/>
                <w:sz w:val="20"/>
                <w:szCs w:val="20"/>
              </w:rPr>
            </w:pPr>
            <w:r w:rsidRPr="00A03C35">
              <w:rPr>
                <w:rFonts w:cstheme="minorHAnsi"/>
                <w:color w:val="000000"/>
                <w:sz w:val="20"/>
                <w:szCs w:val="20"/>
              </w:rPr>
              <w:t>9</w:t>
            </w:r>
          </w:p>
        </w:tc>
        <w:tc>
          <w:tcPr>
            <w:tcW w:w="1701" w:type="dxa"/>
            <w:vAlign w:val="center"/>
          </w:tcPr>
          <w:p w:rsidR="00C82A8C" w:rsidRPr="00A03C35" w:rsidRDefault="00C82A8C" w:rsidP="00A77A90">
            <w:pPr>
              <w:rPr>
                <w:rFonts w:cstheme="minorHAnsi"/>
                <w:color w:val="000000"/>
                <w:sz w:val="20"/>
                <w:szCs w:val="20"/>
              </w:rPr>
            </w:pPr>
            <w:r w:rsidRPr="00A03C35">
              <w:rPr>
                <w:rFonts w:cstheme="minorHAnsi"/>
                <w:color w:val="000000"/>
                <w:sz w:val="20"/>
                <w:szCs w:val="20"/>
              </w:rPr>
              <w:t>Stratification</w:t>
            </w:r>
          </w:p>
        </w:tc>
      </w:tr>
      <w:tr w:rsidR="00C82A8C" w:rsidTr="00A77A90">
        <w:tc>
          <w:tcPr>
            <w:tcW w:w="509" w:type="dxa"/>
            <w:vAlign w:val="center"/>
          </w:tcPr>
          <w:p w:rsidR="00C82A8C" w:rsidRPr="00C4576A" w:rsidRDefault="00C82A8C" w:rsidP="00A77A90">
            <w:pPr>
              <w:rPr>
                <w:rFonts w:cstheme="minorHAnsi"/>
                <w:b/>
                <w:i/>
                <w:color w:val="0B5484" w:themeColor="accent1" w:themeShade="80"/>
                <w:sz w:val="20"/>
                <w:szCs w:val="20"/>
              </w:rPr>
            </w:pPr>
            <w:r w:rsidRPr="00C4576A">
              <w:rPr>
                <w:rFonts w:cstheme="minorHAnsi"/>
                <w:b/>
                <w:i/>
                <w:color w:val="0B5484" w:themeColor="accent1" w:themeShade="80"/>
                <w:sz w:val="20"/>
                <w:szCs w:val="20"/>
              </w:rPr>
              <w:t>4</w:t>
            </w:r>
          </w:p>
        </w:tc>
        <w:tc>
          <w:tcPr>
            <w:tcW w:w="3018" w:type="dxa"/>
            <w:tcBorders>
              <w:top w:val="nil"/>
              <w:left w:val="single" w:sz="4" w:space="0" w:color="auto"/>
              <w:bottom w:val="single" w:sz="4" w:space="0" w:color="auto"/>
              <w:right w:val="single" w:sz="4" w:space="0" w:color="auto"/>
            </w:tcBorders>
            <w:shd w:val="clear" w:color="auto" w:fill="auto"/>
            <w:vAlign w:val="center"/>
          </w:tcPr>
          <w:p w:rsidR="00C82A8C" w:rsidRPr="00A03C35" w:rsidRDefault="00C82A8C" w:rsidP="00A77A90">
            <w:pPr>
              <w:rPr>
                <w:rFonts w:cstheme="minorHAnsi"/>
                <w:color w:val="000000"/>
                <w:sz w:val="20"/>
                <w:szCs w:val="20"/>
              </w:rPr>
            </w:pPr>
            <w:r w:rsidRPr="00A03C35">
              <w:rPr>
                <w:rFonts w:cstheme="minorHAnsi"/>
                <w:color w:val="000000"/>
                <w:sz w:val="20"/>
                <w:szCs w:val="20"/>
              </w:rPr>
              <w:t>Food regulation</w:t>
            </w:r>
          </w:p>
        </w:tc>
        <w:tc>
          <w:tcPr>
            <w:tcW w:w="946" w:type="dxa"/>
            <w:tcBorders>
              <w:top w:val="nil"/>
              <w:left w:val="single" w:sz="4" w:space="0" w:color="auto"/>
              <w:bottom w:val="single" w:sz="4" w:space="0" w:color="auto"/>
              <w:right w:val="single" w:sz="4" w:space="0" w:color="auto"/>
            </w:tcBorders>
            <w:shd w:val="clear" w:color="000000" w:fill="FFFFFF"/>
            <w:vAlign w:val="center"/>
          </w:tcPr>
          <w:p w:rsidR="00C82A8C" w:rsidRPr="00A03C35" w:rsidRDefault="00C82A8C" w:rsidP="00A77A90">
            <w:pPr>
              <w:rPr>
                <w:rFonts w:cstheme="minorHAnsi"/>
                <w:color w:val="262626"/>
                <w:sz w:val="20"/>
                <w:szCs w:val="20"/>
              </w:rPr>
            </w:pPr>
            <w:r w:rsidRPr="00A03C35">
              <w:rPr>
                <w:rFonts w:cstheme="minorHAnsi"/>
                <w:color w:val="262626"/>
                <w:sz w:val="20"/>
                <w:szCs w:val="20"/>
              </w:rPr>
              <w:t>Citizens' Jury</w:t>
            </w:r>
          </w:p>
        </w:tc>
        <w:tc>
          <w:tcPr>
            <w:tcW w:w="2146" w:type="dxa"/>
            <w:tcBorders>
              <w:top w:val="nil"/>
              <w:left w:val="single" w:sz="4" w:space="0" w:color="auto"/>
              <w:bottom w:val="single" w:sz="4" w:space="0" w:color="auto"/>
              <w:right w:val="single" w:sz="4" w:space="0" w:color="auto"/>
            </w:tcBorders>
            <w:shd w:val="clear" w:color="auto" w:fill="auto"/>
            <w:vAlign w:val="center"/>
          </w:tcPr>
          <w:p w:rsidR="00C82A8C" w:rsidRPr="00A03C35" w:rsidRDefault="00C82A8C" w:rsidP="00A77A90">
            <w:pPr>
              <w:rPr>
                <w:rFonts w:cstheme="minorHAnsi"/>
                <w:color w:val="000000"/>
                <w:sz w:val="20"/>
                <w:szCs w:val="20"/>
              </w:rPr>
            </w:pPr>
            <w:r w:rsidRPr="00A03C35">
              <w:rPr>
                <w:rFonts w:cstheme="minorHAnsi"/>
                <w:color w:val="000000"/>
                <w:sz w:val="20"/>
                <w:szCs w:val="20"/>
              </w:rPr>
              <w:t>Adelaide</w:t>
            </w:r>
          </w:p>
        </w:tc>
        <w:tc>
          <w:tcPr>
            <w:tcW w:w="688" w:type="dxa"/>
            <w:tcBorders>
              <w:top w:val="nil"/>
              <w:left w:val="single" w:sz="4" w:space="0" w:color="auto"/>
              <w:bottom w:val="single" w:sz="4" w:space="0" w:color="auto"/>
              <w:right w:val="single" w:sz="4" w:space="0" w:color="auto"/>
            </w:tcBorders>
            <w:shd w:val="clear" w:color="auto" w:fill="auto"/>
            <w:vAlign w:val="center"/>
          </w:tcPr>
          <w:p w:rsidR="00C82A8C" w:rsidRPr="00A03C35" w:rsidRDefault="00C82A8C" w:rsidP="00A77A90">
            <w:pPr>
              <w:rPr>
                <w:rFonts w:cstheme="minorHAnsi"/>
                <w:color w:val="000000"/>
                <w:sz w:val="20"/>
                <w:szCs w:val="20"/>
              </w:rPr>
            </w:pPr>
            <w:r w:rsidRPr="00A03C35">
              <w:rPr>
                <w:rFonts w:cstheme="minorHAnsi"/>
                <w:color w:val="000000"/>
                <w:sz w:val="20"/>
                <w:szCs w:val="20"/>
              </w:rPr>
              <w:t>2011</w:t>
            </w:r>
          </w:p>
        </w:tc>
        <w:tc>
          <w:tcPr>
            <w:tcW w:w="953" w:type="dxa"/>
            <w:tcBorders>
              <w:top w:val="nil"/>
              <w:left w:val="single" w:sz="4" w:space="0" w:color="auto"/>
              <w:bottom w:val="single" w:sz="4" w:space="0" w:color="auto"/>
              <w:right w:val="single" w:sz="4" w:space="0" w:color="auto"/>
            </w:tcBorders>
            <w:shd w:val="clear" w:color="auto" w:fill="auto"/>
            <w:vAlign w:val="center"/>
          </w:tcPr>
          <w:p w:rsidR="00C82A8C" w:rsidRPr="00A03C35" w:rsidRDefault="00C82A8C" w:rsidP="00A77A90">
            <w:pPr>
              <w:rPr>
                <w:rFonts w:cstheme="minorHAnsi"/>
                <w:color w:val="000000"/>
                <w:sz w:val="20"/>
                <w:szCs w:val="20"/>
              </w:rPr>
            </w:pPr>
            <w:r w:rsidRPr="00A03C35">
              <w:rPr>
                <w:rFonts w:cstheme="minorHAnsi"/>
                <w:color w:val="000000"/>
                <w:sz w:val="20"/>
                <w:szCs w:val="20"/>
              </w:rPr>
              <w:t>3 hours</w:t>
            </w:r>
          </w:p>
        </w:tc>
        <w:tc>
          <w:tcPr>
            <w:tcW w:w="1238" w:type="dxa"/>
            <w:tcBorders>
              <w:top w:val="nil"/>
              <w:left w:val="single" w:sz="4" w:space="0" w:color="auto"/>
              <w:bottom w:val="single" w:sz="4" w:space="0" w:color="auto"/>
              <w:right w:val="single" w:sz="4" w:space="0" w:color="auto"/>
            </w:tcBorders>
            <w:shd w:val="clear" w:color="auto" w:fill="auto"/>
            <w:vAlign w:val="center"/>
          </w:tcPr>
          <w:p w:rsidR="00C82A8C" w:rsidRPr="00A03C35" w:rsidRDefault="00C82A8C" w:rsidP="00A77A90">
            <w:pPr>
              <w:rPr>
                <w:rFonts w:cstheme="minorHAnsi"/>
                <w:color w:val="000000"/>
                <w:sz w:val="20"/>
                <w:szCs w:val="20"/>
              </w:rPr>
            </w:pPr>
            <w:r w:rsidRPr="00A03C35">
              <w:rPr>
                <w:rFonts w:cstheme="minorHAnsi"/>
                <w:color w:val="000000"/>
                <w:sz w:val="20"/>
                <w:szCs w:val="20"/>
              </w:rPr>
              <w:t>20</w:t>
            </w:r>
          </w:p>
        </w:tc>
        <w:tc>
          <w:tcPr>
            <w:tcW w:w="1701" w:type="dxa"/>
            <w:vAlign w:val="center"/>
          </w:tcPr>
          <w:p w:rsidR="00C82A8C" w:rsidRPr="00A03C35" w:rsidRDefault="00C82A8C" w:rsidP="00A77A90">
            <w:pPr>
              <w:rPr>
                <w:rFonts w:cstheme="minorHAnsi"/>
                <w:color w:val="000000"/>
                <w:sz w:val="20"/>
                <w:szCs w:val="20"/>
              </w:rPr>
            </w:pPr>
            <w:r w:rsidRPr="00A03C35">
              <w:rPr>
                <w:rFonts w:cstheme="minorHAnsi"/>
                <w:color w:val="000000"/>
                <w:sz w:val="20"/>
                <w:szCs w:val="20"/>
              </w:rPr>
              <w:t>Stratification</w:t>
            </w:r>
          </w:p>
        </w:tc>
      </w:tr>
      <w:tr w:rsidR="00C82A8C" w:rsidTr="00A77A90">
        <w:tc>
          <w:tcPr>
            <w:tcW w:w="509" w:type="dxa"/>
            <w:vAlign w:val="center"/>
          </w:tcPr>
          <w:p w:rsidR="00C82A8C" w:rsidRPr="00C4576A" w:rsidRDefault="00C82A8C" w:rsidP="00A77A90">
            <w:pPr>
              <w:rPr>
                <w:rFonts w:cstheme="minorHAnsi"/>
                <w:b/>
                <w:i/>
                <w:color w:val="0B5484" w:themeColor="accent1" w:themeShade="80"/>
                <w:sz w:val="20"/>
                <w:szCs w:val="20"/>
              </w:rPr>
            </w:pPr>
            <w:r w:rsidRPr="00C4576A">
              <w:rPr>
                <w:rFonts w:cstheme="minorHAnsi"/>
                <w:b/>
                <w:i/>
                <w:color w:val="0B5484" w:themeColor="accent1" w:themeShade="80"/>
                <w:sz w:val="20"/>
                <w:szCs w:val="20"/>
              </w:rPr>
              <w:t>5</w:t>
            </w:r>
          </w:p>
        </w:tc>
        <w:tc>
          <w:tcPr>
            <w:tcW w:w="3018" w:type="dxa"/>
            <w:tcBorders>
              <w:top w:val="nil"/>
              <w:left w:val="single" w:sz="4" w:space="0" w:color="auto"/>
              <w:bottom w:val="single" w:sz="4" w:space="0" w:color="auto"/>
              <w:right w:val="single" w:sz="4" w:space="0" w:color="auto"/>
            </w:tcBorders>
            <w:shd w:val="clear" w:color="auto" w:fill="auto"/>
            <w:vAlign w:val="center"/>
          </w:tcPr>
          <w:p w:rsidR="00C82A8C" w:rsidRPr="00A03C35" w:rsidRDefault="00C82A8C" w:rsidP="00A77A90">
            <w:pPr>
              <w:rPr>
                <w:rFonts w:cstheme="minorHAnsi"/>
                <w:color w:val="000000"/>
                <w:sz w:val="20"/>
                <w:szCs w:val="20"/>
              </w:rPr>
            </w:pPr>
            <w:r w:rsidRPr="00A03C35">
              <w:rPr>
                <w:rFonts w:cstheme="minorHAnsi"/>
                <w:color w:val="000000"/>
                <w:sz w:val="20"/>
                <w:szCs w:val="20"/>
              </w:rPr>
              <w:t>School based adolescent immunisation programs</w:t>
            </w:r>
          </w:p>
        </w:tc>
        <w:tc>
          <w:tcPr>
            <w:tcW w:w="946" w:type="dxa"/>
            <w:tcBorders>
              <w:top w:val="nil"/>
              <w:left w:val="single" w:sz="4" w:space="0" w:color="auto"/>
              <w:bottom w:val="single" w:sz="4" w:space="0" w:color="auto"/>
              <w:right w:val="single" w:sz="4" w:space="0" w:color="auto"/>
            </w:tcBorders>
            <w:shd w:val="clear" w:color="000000" w:fill="FFFFFF"/>
            <w:vAlign w:val="center"/>
          </w:tcPr>
          <w:p w:rsidR="00C82A8C" w:rsidRPr="00A03C35" w:rsidRDefault="00C82A8C" w:rsidP="00A77A90">
            <w:pPr>
              <w:rPr>
                <w:rFonts w:cstheme="minorHAnsi"/>
                <w:color w:val="262626"/>
                <w:sz w:val="20"/>
                <w:szCs w:val="20"/>
              </w:rPr>
            </w:pPr>
            <w:r w:rsidRPr="00A03C35">
              <w:rPr>
                <w:rFonts w:cstheme="minorHAnsi"/>
                <w:color w:val="262626"/>
                <w:sz w:val="20"/>
                <w:szCs w:val="20"/>
              </w:rPr>
              <w:t>Citizens' Jury</w:t>
            </w:r>
          </w:p>
        </w:tc>
        <w:tc>
          <w:tcPr>
            <w:tcW w:w="2146" w:type="dxa"/>
            <w:tcBorders>
              <w:top w:val="nil"/>
              <w:left w:val="single" w:sz="4" w:space="0" w:color="auto"/>
              <w:bottom w:val="single" w:sz="4" w:space="0" w:color="auto"/>
              <w:right w:val="single" w:sz="4" w:space="0" w:color="auto"/>
            </w:tcBorders>
            <w:shd w:val="clear" w:color="auto" w:fill="auto"/>
            <w:vAlign w:val="center"/>
          </w:tcPr>
          <w:p w:rsidR="00C82A8C" w:rsidRPr="00A03C35" w:rsidRDefault="00C82A8C" w:rsidP="00A77A90">
            <w:pPr>
              <w:rPr>
                <w:rFonts w:cstheme="minorHAnsi"/>
                <w:color w:val="000000"/>
                <w:sz w:val="20"/>
                <w:szCs w:val="20"/>
              </w:rPr>
            </w:pPr>
            <w:r w:rsidRPr="00A03C35">
              <w:rPr>
                <w:rFonts w:cstheme="minorHAnsi"/>
                <w:color w:val="000000"/>
                <w:sz w:val="20"/>
                <w:szCs w:val="20"/>
              </w:rPr>
              <w:t>Adelaide</w:t>
            </w:r>
          </w:p>
        </w:tc>
        <w:tc>
          <w:tcPr>
            <w:tcW w:w="688" w:type="dxa"/>
            <w:tcBorders>
              <w:top w:val="nil"/>
              <w:left w:val="single" w:sz="4" w:space="0" w:color="auto"/>
              <w:bottom w:val="single" w:sz="4" w:space="0" w:color="auto"/>
              <w:right w:val="single" w:sz="4" w:space="0" w:color="auto"/>
            </w:tcBorders>
            <w:shd w:val="clear" w:color="auto" w:fill="auto"/>
            <w:vAlign w:val="center"/>
          </w:tcPr>
          <w:p w:rsidR="00C82A8C" w:rsidRPr="00A03C35" w:rsidRDefault="00C82A8C" w:rsidP="00A77A90">
            <w:pPr>
              <w:rPr>
                <w:rFonts w:cstheme="minorHAnsi"/>
                <w:color w:val="000000"/>
                <w:sz w:val="20"/>
                <w:szCs w:val="20"/>
              </w:rPr>
            </w:pPr>
            <w:r w:rsidRPr="00A03C35">
              <w:rPr>
                <w:rFonts w:cstheme="minorHAnsi"/>
                <w:color w:val="000000"/>
                <w:sz w:val="20"/>
                <w:szCs w:val="20"/>
              </w:rPr>
              <w:t>2012</w:t>
            </w:r>
          </w:p>
        </w:tc>
        <w:tc>
          <w:tcPr>
            <w:tcW w:w="953" w:type="dxa"/>
            <w:tcBorders>
              <w:top w:val="nil"/>
              <w:left w:val="single" w:sz="4" w:space="0" w:color="auto"/>
              <w:bottom w:val="single" w:sz="4" w:space="0" w:color="auto"/>
              <w:right w:val="single" w:sz="4" w:space="0" w:color="auto"/>
            </w:tcBorders>
            <w:shd w:val="clear" w:color="auto" w:fill="auto"/>
            <w:vAlign w:val="center"/>
          </w:tcPr>
          <w:p w:rsidR="00C82A8C" w:rsidRPr="00A03C35" w:rsidRDefault="00C82A8C" w:rsidP="00A77A90">
            <w:pPr>
              <w:rPr>
                <w:rFonts w:cstheme="minorHAnsi"/>
                <w:color w:val="000000"/>
                <w:sz w:val="20"/>
                <w:szCs w:val="20"/>
              </w:rPr>
            </w:pPr>
            <w:r w:rsidRPr="00A03C35">
              <w:rPr>
                <w:rFonts w:cstheme="minorHAnsi"/>
                <w:color w:val="000000"/>
                <w:sz w:val="20"/>
                <w:szCs w:val="20"/>
              </w:rPr>
              <w:t>2 days</w:t>
            </w:r>
          </w:p>
        </w:tc>
        <w:tc>
          <w:tcPr>
            <w:tcW w:w="1238" w:type="dxa"/>
            <w:tcBorders>
              <w:top w:val="nil"/>
              <w:left w:val="single" w:sz="4" w:space="0" w:color="auto"/>
              <w:bottom w:val="single" w:sz="4" w:space="0" w:color="auto"/>
              <w:right w:val="single" w:sz="4" w:space="0" w:color="auto"/>
            </w:tcBorders>
            <w:shd w:val="clear" w:color="auto" w:fill="auto"/>
            <w:vAlign w:val="center"/>
          </w:tcPr>
          <w:p w:rsidR="00C82A8C" w:rsidRPr="00A03C35" w:rsidRDefault="00C82A8C" w:rsidP="00A77A90">
            <w:pPr>
              <w:rPr>
                <w:rFonts w:cstheme="minorHAnsi"/>
                <w:color w:val="000000"/>
                <w:sz w:val="20"/>
                <w:szCs w:val="20"/>
              </w:rPr>
            </w:pPr>
            <w:r w:rsidRPr="00A03C35">
              <w:rPr>
                <w:rFonts w:cstheme="minorHAnsi"/>
                <w:color w:val="000000"/>
                <w:sz w:val="20"/>
                <w:szCs w:val="20"/>
              </w:rPr>
              <w:t>31</w:t>
            </w:r>
          </w:p>
        </w:tc>
        <w:tc>
          <w:tcPr>
            <w:tcW w:w="1701" w:type="dxa"/>
            <w:vAlign w:val="center"/>
          </w:tcPr>
          <w:p w:rsidR="00C82A8C" w:rsidRPr="00A03C35" w:rsidRDefault="00C82A8C" w:rsidP="00A77A90">
            <w:pPr>
              <w:rPr>
                <w:rFonts w:cstheme="minorHAnsi"/>
                <w:color w:val="000000"/>
                <w:sz w:val="20"/>
                <w:szCs w:val="20"/>
              </w:rPr>
            </w:pPr>
            <w:r w:rsidRPr="00A03C35">
              <w:rPr>
                <w:rFonts w:cstheme="minorHAnsi"/>
                <w:color w:val="000000"/>
                <w:sz w:val="20"/>
                <w:szCs w:val="20"/>
              </w:rPr>
              <w:t>Stratification</w:t>
            </w:r>
          </w:p>
        </w:tc>
      </w:tr>
      <w:tr w:rsidR="00C82A8C" w:rsidTr="00A77A90">
        <w:tc>
          <w:tcPr>
            <w:tcW w:w="509" w:type="dxa"/>
            <w:vAlign w:val="center"/>
          </w:tcPr>
          <w:p w:rsidR="00C82A8C" w:rsidRPr="00C4576A" w:rsidRDefault="00C82A8C" w:rsidP="00A77A90">
            <w:pPr>
              <w:rPr>
                <w:rFonts w:cstheme="minorHAnsi"/>
                <w:b/>
                <w:i/>
                <w:color w:val="0B5484" w:themeColor="accent1" w:themeShade="80"/>
                <w:sz w:val="20"/>
                <w:szCs w:val="20"/>
              </w:rPr>
            </w:pPr>
            <w:r w:rsidRPr="00C4576A">
              <w:rPr>
                <w:rFonts w:cstheme="minorHAnsi"/>
                <w:b/>
                <w:i/>
                <w:color w:val="0B5484" w:themeColor="accent1" w:themeShade="80"/>
                <w:sz w:val="20"/>
                <w:szCs w:val="20"/>
              </w:rPr>
              <w:t>6</w:t>
            </w:r>
          </w:p>
        </w:tc>
        <w:tc>
          <w:tcPr>
            <w:tcW w:w="3018" w:type="dxa"/>
            <w:tcBorders>
              <w:top w:val="nil"/>
              <w:left w:val="single" w:sz="4" w:space="0" w:color="auto"/>
              <w:bottom w:val="single" w:sz="4" w:space="0" w:color="auto"/>
              <w:right w:val="single" w:sz="4" w:space="0" w:color="auto"/>
            </w:tcBorders>
            <w:shd w:val="clear" w:color="auto" w:fill="auto"/>
            <w:vAlign w:val="center"/>
          </w:tcPr>
          <w:p w:rsidR="00C82A8C" w:rsidRPr="00A03C35" w:rsidRDefault="00C82A8C" w:rsidP="00A77A90">
            <w:pPr>
              <w:rPr>
                <w:rFonts w:cstheme="minorHAnsi"/>
                <w:color w:val="000000"/>
                <w:sz w:val="20"/>
                <w:szCs w:val="20"/>
              </w:rPr>
            </w:pPr>
            <w:r w:rsidRPr="00A03C35">
              <w:rPr>
                <w:rFonts w:cstheme="minorHAnsi"/>
                <w:color w:val="000000"/>
                <w:sz w:val="20"/>
                <w:szCs w:val="20"/>
              </w:rPr>
              <w:t>City of Canada Bay Council Citizens' Panel</w:t>
            </w:r>
          </w:p>
        </w:tc>
        <w:tc>
          <w:tcPr>
            <w:tcW w:w="946" w:type="dxa"/>
            <w:tcBorders>
              <w:top w:val="nil"/>
              <w:left w:val="single" w:sz="4" w:space="0" w:color="auto"/>
              <w:bottom w:val="single" w:sz="4" w:space="0" w:color="auto"/>
              <w:right w:val="single" w:sz="4" w:space="0" w:color="auto"/>
            </w:tcBorders>
            <w:shd w:val="clear" w:color="000000" w:fill="FFFFFF"/>
            <w:vAlign w:val="center"/>
          </w:tcPr>
          <w:p w:rsidR="00C82A8C" w:rsidRPr="00A03C35" w:rsidRDefault="00C82A8C" w:rsidP="00A77A90">
            <w:pPr>
              <w:rPr>
                <w:rFonts w:cstheme="minorHAnsi"/>
                <w:color w:val="262626"/>
                <w:sz w:val="20"/>
                <w:szCs w:val="20"/>
              </w:rPr>
            </w:pPr>
            <w:r w:rsidRPr="00A03C35">
              <w:rPr>
                <w:rFonts w:cstheme="minorHAnsi"/>
                <w:color w:val="262626"/>
                <w:sz w:val="20"/>
                <w:szCs w:val="20"/>
              </w:rPr>
              <w:t>Citizens' Jury</w:t>
            </w:r>
          </w:p>
        </w:tc>
        <w:tc>
          <w:tcPr>
            <w:tcW w:w="2146" w:type="dxa"/>
            <w:tcBorders>
              <w:top w:val="nil"/>
              <w:left w:val="single" w:sz="4" w:space="0" w:color="auto"/>
              <w:bottom w:val="single" w:sz="4" w:space="0" w:color="auto"/>
              <w:right w:val="single" w:sz="4" w:space="0" w:color="auto"/>
            </w:tcBorders>
            <w:shd w:val="clear" w:color="auto" w:fill="auto"/>
            <w:vAlign w:val="center"/>
          </w:tcPr>
          <w:p w:rsidR="00C82A8C" w:rsidRPr="00A03C35" w:rsidRDefault="00C82A8C" w:rsidP="00A77A90">
            <w:pPr>
              <w:rPr>
                <w:rFonts w:cstheme="minorHAnsi"/>
                <w:color w:val="000000"/>
                <w:sz w:val="20"/>
                <w:szCs w:val="20"/>
              </w:rPr>
            </w:pPr>
            <w:r w:rsidRPr="00A03C35">
              <w:rPr>
                <w:rFonts w:cstheme="minorHAnsi"/>
                <w:color w:val="000000"/>
                <w:sz w:val="20"/>
                <w:szCs w:val="20"/>
              </w:rPr>
              <w:t>Canada Bay</w:t>
            </w:r>
          </w:p>
        </w:tc>
        <w:tc>
          <w:tcPr>
            <w:tcW w:w="688" w:type="dxa"/>
            <w:tcBorders>
              <w:top w:val="nil"/>
              <w:left w:val="single" w:sz="4" w:space="0" w:color="auto"/>
              <w:bottom w:val="single" w:sz="4" w:space="0" w:color="auto"/>
              <w:right w:val="single" w:sz="4" w:space="0" w:color="auto"/>
            </w:tcBorders>
            <w:shd w:val="clear" w:color="auto" w:fill="auto"/>
            <w:vAlign w:val="center"/>
          </w:tcPr>
          <w:p w:rsidR="00C82A8C" w:rsidRPr="00A03C35" w:rsidRDefault="00C82A8C" w:rsidP="00A77A90">
            <w:pPr>
              <w:rPr>
                <w:rFonts w:cstheme="minorHAnsi"/>
                <w:color w:val="000000"/>
                <w:sz w:val="20"/>
                <w:szCs w:val="20"/>
              </w:rPr>
            </w:pPr>
            <w:r w:rsidRPr="00A03C35">
              <w:rPr>
                <w:rFonts w:cstheme="minorHAnsi"/>
                <w:color w:val="000000"/>
                <w:sz w:val="20"/>
                <w:szCs w:val="20"/>
              </w:rPr>
              <w:t>2012</w:t>
            </w:r>
          </w:p>
        </w:tc>
        <w:tc>
          <w:tcPr>
            <w:tcW w:w="953" w:type="dxa"/>
            <w:tcBorders>
              <w:top w:val="nil"/>
              <w:left w:val="single" w:sz="4" w:space="0" w:color="auto"/>
              <w:bottom w:val="single" w:sz="4" w:space="0" w:color="auto"/>
              <w:right w:val="single" w:sz="4" w:space="0" w:color="auto"/>
            </w:tcBorders>
            <w:shd w:val="clear" w:color="auto" w:fill="auto"/>
            <w:vAlign w:val="center"/>
          </w:tcPr>
          <w:p w:rsidR="00C82A8C" w:rsidRPr="00A03C35" w:rsidRDefault="00C82A8C" w:rsidP="00A77A90">
            <w:pPr>
              <w:rPr>
                <w:rFonts w:cstheme="minorHAnsi"/>
                <w:color w:val="000000"/>
                <w:sz w:val="20"/>
                <w:szCs w:val="20"/>
              </w:rPr>
            </w:pPr>
            <w:r w:rsidRPr="00A03C35">
              <w:rPr>
                <w:rFonts w:cstheme="minorHAnsi"/>
                <w:color w:val="000000"/>
                <w:sz w:val="20"/>
                <w:szCs w:val="20"/>
              </w:rPr>
              <w:t>5 days</w:t>
            </w:r>
          </w:p>
        </w:tc>
        <w:tc>
          <w:tcPr>
            <w:tcW w:w="1238" w:type="dxa"/>
            <w:tcBorders>
              <w:top w:val="nil"/>
              <w:left w:val="single" w:sz="4" w:space="0" w:color="auto"/>
              <w:bottom w:val="single" w:sz="4" w:space="0" w:color="auto"/>
              <w:right w:val="single" w:sz="4" w:space="0" w:color="auto"/>
            </w:tcBorders>
            <w:shd w:val="clear" w:color="auto" w:fill="auto"/>
            <w:vAlign w:val="center"/>
          </w:tcPr>
          <w:p w:rsidR="00C82A8C" w:rsidRPr="00A03C35" w:rsidRDefault="00C82A8C" w:rsidP="00A77A90">
            <w:pPr>
              <w:rPr>
                <w:rFonts w:cstheme="minorHAnsi"/>
                <w:color w:val="000000"/>
                <w:sz w:val="20"/>
                <w:szCs w:val="20"/>
              </w:rPr>
            </w:pPr>
            <w:r w:rsidRPr="00A03C35">
              <w:rPr>
                <w:rFonts w:cstheme="minorHAnsi"/>
                <w:color w:val="000000"/>
                <w:sz w:val="20"/>
                <w:szCs w:val="20"/>
              </w:rPr>
              <w:t>36</w:t>
            </w:r>
          </w:p>
        </w:tc>
        <w:tc>
          <w:tcPr>
            <w:tcW w:w="1701" w:type="dxa"/>
            <w:vAlign w:val="center"/>
          </w:tcPr>
          <w:p w:rsidR="00C82A8C" w:rsidRPr="00A03C35" w:rsidRDefault="00C82A8C" w:rsidP="00A77A90">
            <w:pPr>
              <w:rPr>
                <w:rFonts w:cstheme="minorHAnsi"/>
                <w:color w:val="000000"/>
                <w:sz w:val="20"/>
                <w:szCs w:val="20"/>
              </w:rPr>
            </w:pPr>
            <w:r w:rsidRPr="00A03C35">
              <w:rPr>
                <w:rFonts w:cstheme="minorHAnsi"/>
                <w:color w:val="000000"/>
                <w:sz w:val="20"/>
                <w:szCs w:val="20"/>
              </w:rPr>
              <w:t>Random selection</w:t>
            </w:r>
          </w:p>
        </w:tc>
      </w:tr>
      <w:tr w:rsidR="00C82A8C" w:rsidTr="00A77A90">
        <w:tc>
          <w:tcPr>
            <w:tcW w:w="509" w:type="dxa"/>
            <w:vAlign w:val="center"/>
          </w:tcPr>
          <w:p w:rsidR="00C82A8C" w:rsidRPr="00C4576A" w:rsidRDefault="00C82A8C" w:rsidP="00A77A90">
            <w:pPr>
              <w:rPr>
                <w:rFonts w:cstheme="minorHAnsi"/>
                <w:b/>
                <w:i/>
                <w:color w:val="0B5484" w:themeColor="accent1" w:themeShade="80"/>
                <w:sz w:val="20"/>
                <w:szCs w:val="20"/>
              </w:rPr>
            </w:pPr>
            <w:r w:rsidRPr="00C4576A">
              <w:rPr>
                <w:rFonts w:cstheme="minorHAnsi"/>
                <w:b/>
                <w:i/>
                <w:color w:val="0B5484" w:themeColor="accent1" w:themeShade="80"/>
                <w:sz w:val="20"/>
                <w:szCs w:val="20"/>
              </w:rPr>
              <w:t>7</w:t>
            </w:r>
          </w:p>
        </w:tc>
        <w:tc>
          <w:tcPr>
            <w:tcW w:w="3018" w:type="dxa"/>
            <w:tcBorders>
              <w:top w:val="nil"/>
              <w:left w:val="single" w:sz="4" w:space="0" w:color="auto"/>
              <w:bottom w:val="single" w:sz="4" w:space="0" w:color="auto"/>
              <w:right w:val="single" w:sz="4" w:space="0" w:color="auto"/>
            </w:tcBorders>
            <w:shd w:val="clear" w:color="auto" w:fill="auto"/>
            <w:vAlign w:val="center"/>
          </w:tcPr>
          <w:p w:rsidR="00C82A8C" w:rsidRPr="00A03C35" w:rsidRDefault="00C82A8C" w:rsidP="00A77A90">
            <w:pPr>
              <w:rPr>
                <w:rFonts w:cstheme="minorHAnsi"/>
                <w:color w:val="000000"/>
                <w:sz w:val="20"/>
                <w:szCs w:val="20"/>
              </w:rPr>
            </w:pPr>
            <w:r w:rsidRPr="00A03C35">
              <w:rPr>
                <w:rFonts w:cstheme="minorHAnsi"/>
                <w:color w:val="000000"/>
                <w:sz w:val="20"/>
                <w:szCs w:val="20"/>
              </w:rPr>
              <w:t>Tax on Soft Drinks</w:t>
            </w:r>
          </w:p>
        </w:tc>
        <w:tc>
          <w:tcPr>
            <w:tcW w:w="946" w:type="dxa"/>
            <w:tcBorders>
              <w:top w:val="nil"/>
              <w:left w:val="single" w:sz="4" w:space="0" w:color="auto"/>
              <w:bottom w:val="single" w:sz="4" w:space="0" w:color="auto"/>
              <w:right w:val="single" w:sz="4" w:space="0" w:color="auto"/>
            </w:tcBorders>
            <w:shd w:val="clear" w:color="000000" w:fill="FFFFFF"/>
            <w:vAlign w:val="center"/>
          </w:tcPr>
          <w:p w:rsidR="00C82A8C" w:rsidRPr="00A03C35" w:rsidRDefault="00C82A8C" w:rsidP="00A77A90">
            <w:pPr>
              <w:rPr>
                <w:rFonts w:cstheme="minorHAnsi"/>
                <w:color w:val="262626"/>
                <w:sz w:val="20"/>
                <w:szCs w:val="20"/>
              </w:rPr>
            </w:pPr>
            <w:r w:rsidRPr="00A03C35">
              <w:rPr>
                <w:rFonts w:cstheme="minorHAnsi"/>
                <w:color w:val="262626"/>
                <w:sz w:val="20"/>
                <w:szCs w:val="20"/>
              </w:rPr>
              <w:t>Citizens' Jury</w:t>
            </w:r>
          </w:p>
        </w:tc>
        <w:tc>
          <w:tcPr>
            <w:tcW w:w="2146" w:type="dxa"/>
            <w:tcBorders>
              <w:top w:val="nil"/>
              <w:left w:val="single" w:sz="4" w:space="0" w:color="auto"/>
              <w:bottom w:val="single" w:sz="4" w:space="0" w:color="auto"/>
              <w:right w:val="single" w:sz="4" w:space="0" w:color="auto"/>
            </w:tcBorders>
            <w:shd w:val="clear" w:color="auto" w:fill="auto"/>
            <w:vAlign w:val="center"/>
          </w:tcPr>
          <w:p w:rsidR="00C82A8C" w:rsidRPr="00A03C35" w:rsidRDefault="00C82A8C" w:rsidP="00A77A90">
            <w:pPr>
              <w:rPr>
                <w:rFonts w:cstheme="minorHAnsi"/>
                <w:color w:val="000000"/>
                <w:sz w:val="20"/>
                <w:szCs w:val="20"/>
              </w:rPr>
            </w:pPr>
            <w:r w:rsidRPr="00A03C35">
              <w:rPr>
                <w:rFonts w:cstheme="minorHAnsi"/>
                <w:color w:val="000000"/>
                <w:sz w:val="20"/>
                <w:szCs w:val="20"/>
              </w:rPr>
              <w:t>Brisbane</w:t>
            </w:r>
          </w:p>
        </w:tc>
        <w:tc>
          <w:tcPr>
            <w:tcW w:w="688" w:type="dxa"/>
            <w:tcBorders>
              <w:top w:val="nil"/>
              <w:left w:val="single" w:sz="4" w:space="0" w:color="auto"/>
              <w:bottom w:val="single" w:sz="4" w:space="0" w:color="auto"/>
              <w:right w:val="single" w:sz="4" w:space="0" w:color="auto"/>
            </w:tcBorders>
            <w:shd w:val="clear" w:color="auto" w:fill="auto"/>
            <w:vAlign w:val="center"/>
          </w:tcPr>
          <w:p w:rsidR="00C82A8C" w:rsidRPr="00A03C35" w:rsidRDefault="00C82A8C" w:rsidP="00A77A90">
            <w:pPr>
              <w:rPr>
                <w:rFonts w:cstheme="minorHAnsi"/>
                <w:color w:val="000000"/>
                <w:sz w:val="20"/>
                <w:szCs w:val="20"/>
              </w:rPr>
            </w:pPr>
            <w:r w:rsidRPr="00A03C35">
              <w:rPr>
                <w:rFonts w:cstheme="minorHAnsi"/>
                <w:color w:val="000000"/>
                <w:sz w:val="20"/>
                <w:szCs w:val="20"/>
              </w:rPr>
              <w:t>2013</w:t>
            </w:r>
          </w:p>
        </w:tc>
        <w:tc>
          <w:tcPr>
            <w:tcW w:w="953" w:type="dxa"/>
            <w:tcBorders>
              <w:top w:val="nil"/>
              <w:left w:val="single" w:sz="4" w:space="0" w:color="auto"/>
              <w:bottom w:val="single" w:sz="4" w:space="0" w:color="auto"/>
              <w:right w:val="single" w:sz="4" w:space="0" w:color="auto"/>
            </w:tcBorders>
            <w:shd w:val="clear" w:color="auto" w:fill="auto"/>
            <w:vAlign w:val="center"/>
          </w:tcPr>
          <w:p w:rsidR="00C82A8C" w:rsidRPr="00A03C35" w:rsidRDefault="00C82A8C" w:rsidP="00A77A90">
            <w:pPr>
              <w:rPr>
                <w:rFonts w:cstheme="minorHAnsi"/>
                <w:color w:val="000000"/>
                <w:sz w:val="20"/>
                <w:szCs w:val="20"/>
              </w:rPr>
            </w:pPr>
            <w:r w:rsidRPr="00A03C35">
              <w:rPr>
                <w:rFonts w:cstheme="minorHAnsi"/>
                <w:color w:val="000000"/>
                <w:sz w:val="20"/>
                <w:szCs w:val="20"/>
              </w:rPr>
              <w:t>2 days</w:t>
            </w:r>
          </w:p>
        </w:tc>
        <w:tc>
          <w:tcPr>
            <w:tcW w:w="1238" w:type="dxa"/>
            <w:tcBorders>
              <w:top w:val="nil"/>
              <w:left w:val="single" w:sz="4" w:space="0" w:color="auto"/>
              <w:bottom w:val="single" w:sz="4" w:space="0" w:color="auto"/>
              <w:right w:val="single" w:sz="4" w:space="0" w:color="auto"/>
            </w:tcBorders>
            <w:shd w:val="clear" w:color="auto" w:fill="auto"/>
            <w:vAlign w:val="center"/>
          </w:tcPr>
          <w:p w:rsidR="00C82A8C" w:rsidRPr="00A03C35" w:rsidRDefault="00C82A8C" w:rsidP="00A77A90">
            <w:pPr>
              <w:rPr>
                <w:rFonts w:cstheme="minorHAnsi"/>
                <w:color w:val="000000"/>
                <w:sz w:val="20"/>
                <w:szCs w:val="20"/>
              </w:rPr>
            </w:pPr>
            <w:r w:rsidRPr="00A03C35">
              <w:rPr>
                <w:rFonts w:cstheme="minorHAnsi"/>
                <w:color w:val="000000"/>
                <w:sz w:val="20"/>
                <w:szCs w:val="20"/>
              </w:rPr>
              <w:t>13</w:t>
            </w:r>
          </w:p>
        </w:tc>
        <w:tc>
          <w:tcPr>
            <w:tcW w:w="1701" w:type="dxa"/>
            <w:vAlign w:val="center"/>
          </w:tcPr>
          <w:p w:rsidR="00C82A8C" w:rsidRPr="00A03C35" w:rsidRDefault="00C82A8C" w:rsidP="00A77A90">
            <w:pPr>
              <w:rPr>
                <w:rFonts w:cstheme="minorHAnsi"/>
                <w:color w:val="000000"/>
                <w:sz w:val="20"/>
                <w:szCs w:val="20"/>
              </w:rPr>
            </w:pPr>
            <w:r w:rsidRPr="00A03C35">
              <w:rPr>
                <w:rFonts w:cstheme="minorHAnsi"/>
                <w:color w:val="000000"/>
                <w:sz w:val="20"/>
                <w:szCs w:val="20"/>
              </w:rPr>
              <w:t>Stratification</w:t>
            </w:r>
          </w:p>
        </w:tc>
      </w:tr>
      <w:tr w:rsidR="00C82A8C" w:rsidTr="00A77A90">
        <w:tc>
          <w:tcPr>
            <w:tcW w:w="509" w:type="dxa"/>
            <w:vAlign w:val="center"/>
          </w:tcPr>
          <w:p w:rsidR="00C82A8C" w:rsidRPr="00C4576A" w:rsidRDefault="00C82A8C" w:rsidP="00A77A90">
            <w:pPr>
              <w:rPr>
                <w:rFonts w:cstheme="minorHAnsi"/>
                <w:b/>
                <w:i/>
                <w:color w:val="0B5484" w:themeColor="accent1" w:themeShade="80"/>
                <w:sz w:val="20"/>
                <w:szCs w:val="20"/>
              </w:rPr>
            </w:pPr>
            <w:r w:rsidRPr="00C4576A">
              <w:rPr>
                <w:rFonts w:cstheme="minorHAnsi"/>
                <w:b/>
                <w:i/>
                <w:color w:val="0B5484" w:themeColor="accent1" w:themeShade="80"/>
                <w:sz w:val="20"/>
                <w:szCs w:val="20"/>
              </w:rPr>
              <w:t>8</w:t>
            </w:r>
          </w:p>
        </w:tc>
        <w:tc>
          <w:tcPr>
            <w:tcW w:w="3018" w:type="dxa"/>
            <w:tcBorders>
              <w:top w:val="nil"/>
              <w:left w:val="single" w:sz="4" w:space="0" w:color="auto"/>
              <w:bottom w:val="single" w:sz="4" w:space="0" w:color="auto"/>
              <w:right w:val="single" w:sz="4" w:space="0" w:color="auto"/>
            </w:tcBorders>
            <w:shd w:val="clear" w:color="000000" w:fill="FFFFFF"/>
            <w:vAlign w:val="center"/>
          </w:tcPr>
          <w:p w:rsidR="00C82A8C" w:rsidRPr="00A03C35" w:rsidRDefault="00C82A8C" w:rsidP="00A77A90">
            <w:pPr>
              <w:rPr>
                <w:rFonts w:cstheme="minorHAnsi"/>
                <w:color w:val="000000"/>
                <w:sz w:val="20"/>
                <w:szCs w:val="20"/>
              </w:rPr>
            </w:pPr>
            <w:r w:rsidRPr="00A03C35">
              <w:rPr>
                <w:rFonts w:cstheme="minorHAnsi"/>
                <w:color w:val="000000"/>
                <w:sz w:val="20"/>
                <w:szCs w:val="20"/>
              </w:rPr>
              <w:t>Safe and Vibrant Nightlife</w:t>
            </w:r>
          </w:p>
        </w:tc>
        <w:tc>
          <w:tcPr>
            <w:tcW w:w="946" w:type="dxa"/>
            <w:tcBorders>
              <w:top w:val="nil"/>
              <w:left w:val="single" w:sz="4" w:space="0" w:color="auto"/>
              <w:bottom w:val="single" w:sz="4" w:space="0" w:color="auto"/>
              <w:right w:val="single" w:sz="4" w:space="0" w:color="auto"/>
            </w:tcBorders>
            <w:shd w:val="clear" w:color="000000" w:fill="FFFFFF"/>
            <w:vAlign w:val="center"/>
          </w:tcPr>
          <w:p w:rsidR="00C82A8C" w:rsidRPr="00A03C35" w:rsidRDefault="00C82A8C" w:rsidP="00A77A90">
            <w:pPr>
              <w:rPr>
                <w:rFonts w:cstheme="minorHAnsi"/>
                <w:color w:val="262626"/>
                <w:sz w:val="20"/>
                <w:szCs w:val="20"/>
              </w:rPr>
            </w:pPr>
            <w:r w:rsidRPr="00A03C35">
              <w:rPr>
                <w:rFonts w:cstheme="minorHAnsi"/>
                <w:color w:val="262626"/>
                <w:sz w:val="20"/>
                <w:szCs w:val="20"/>
              </w:rPr>
              <w:t>Citizens' Jury</w:t>
            </w:r>
          </w:p>
        </w:tc>
        <w:tc>
          <w:tcPr>
            <w:tcW w:w="2146" w:type="dxa"/>
            <w:tcBorders>
              <w:top w:val="nil"/>
              <w:left w:val="single" w:sz="4" w:space="0" w:color="auto"/>
              <w:bottom w:val="single" w:sz="4" w:space="0" w:color="auto"/>
              <w:right w:val="single" w:sz="4" w:space="0" w:color="auto"/>
            </w:tcBorders>
            <w:shd w:val="clear" w:color="000000" w:fill="FFFFFF"/>
            <w:vAlign w:val="center"/>
          </w:tcPr>
          <w:p w:rsidR="00C82A8C" w:rsidRPr="00A03C35" w:rsidRDefault="00C82A8C" w:rsidP="00A77A90">
            <w:pPr>
              <w:rPr>
                <w:rFonts w:cstheme="minorHAnsi"/>
                <w:color w:val="000000"/>
                <w:sz w:val="20"/>
                <w:szCs w:val="20"/>
              </w:rPr>
            </w:pPr>
            <w:r w:rsidRPr="00A03C35">
              <w:rPr>
                <w:rFonts w:cstheme="minorHAnsi"/>
                <w:color w:val="000000"/>
                <w:sz w:val="20"/>
                <w:szCs w:val="20"/>
              </w:rPr>
              <w:t>Sydney</w:t>
            </w:r>
          </w:p>
        </w:tc>
        <w:tc>
          <w:tcPr>
            <w:tcW w:w="688" w:type="dxa"/>
            <w:tcBorders>
              <w:top w:val="nil"/>
              <w:left w:val="single" w:sz="4" w:space="0" w:color="auto"/>
              <w:bottom w:val="single" w:sz="4" w:space="0" w:color="auto"/>
              <w:right w:val="single" w:sz="4" w:space="0" w:color="auto"/>
            </w:tcBorders>
            <w:shd w:val="clear" w:color="000000" w:fill="FFFFFF"/>
            <w:vAlign w:val="center"/>
          </w:tcPr>
          <w:p w:rsidR="00C82A8C" w:rsidRPr="00A03C35" w:rsidRDefault="00C82A8C" w:rsidP="00A77A90">
            <w:pPr>
              <w:rPr>
                <w:rFonts w:cstheme="minorHAnsi"/>
                <w:color w:val="000000"/>
                <w:sz w:val="20"/>
                <w:szCs w:val="20"/>
              </w:rPr>
            </w:pPr>
            <w:r w:rsidRPr="00A03C35">
              <w:rPr>
                <w:rFonts w:cstheme="minorHAnsi"/>
                <w:color w:val="000000"/>
                <w:sz w:val="20"/>
                <w:szCs w:val="20"/>
              </w:rPr>
              <w:t>2013</w:t>
            </w:r>
          </w:p>
        </w:tc>
        <w:tc>
          <w:tcPr>
            <w:tcW w:w="953" w:type="dxa"/>
            <w:tcBorders>
              <w:top w:val="nil"/>
              <w:left w:val="single" w:sz="4" w:space="0" w:color="auto"/>
              <w:bottom w:val="single" w:sz="4" w:space="0" w:color="auto"/>
              <w:right w:val="single" w:sz="4" w:space="0" w:color="auto"/>
            </w:tcBorders>
            <w:shd w:val="clear" w:color="000000" w:fill="FFFFFF"/>
            <w:vAlign w:val="center"/>
          </w:tcPr>
          <w:p w:rsidR="00C82A8C" w:rsidRPr="00A03C35" w:rsidRDefault="00C82A8C" w:rsidP="00A77A90">
            <w:pPr>
              <w:rPr>
                <w:rFonts w:cstheme="minorHAnsi"/>
                <w:color w:val="000000"/>
                <w:sz w:val="20"/>
                <w:szCs w:val="20"/>
              </w:rPr>
            </w:pPr>
            <w:r w:rsidRPr="00A03C35">
              <w:rPr>
                <w:rFonts w:cstheme="minorHAnsi"/>
                <w:color w:val="000000"/>
                <w:sz w:val="20"/>
                <w:szCs w:val="20"/>
              </w:rPr>
              <w:t>6 days</w:t>
            </w:r>
          </w:p>
        </w:tc>
        <w:tc>
          <w:tcPr>
            <w:tcW w:w="1238" w:type="dxa"/>
            <w:tcBorders>
              <w:top w:val="nil"/>
              <w:left w:val="single" w:sz="4" w:space="0" w:color="auto"/>
              <w:bottom w:val="single" w:sz="4" w:space="0" w:color="auto"/>
              <w:right w:val="single" w:sz="4" w:space="0" w:color="auto"/>
            </w:tcBorders>
            <w:shd w:val="clear" w:color="000000" w:fill="FFFFFF"/>
            <w:vAlign w:val="center"/>
          </w:tcPr>
          <w:p w:rsidR="00C82A8C" w:rsidRPr="00A03C35" w:rsidRDefault="00C82A8C" w:rsidP="00A77A90">
            <w:pPr>
              <w:rPr>
                <w:rFonts w:cstheme="minorHAnsi"/>
                <w:color w:val="000000"/>
                <w:sz w:val="20"/>
                <w:szCs w:val="20"/>
              </w:rPr>
            </w:pPr>
            <w:r w:rsidRPr="00A03C35">
              <w:rPr>
                <w:rFonts w:cstheme="minorHAnsi"/>
                <w:color w:val="000000"/>
                <w:sz w:val="20"/>
                <w:szCs w:val="20"/>
              </w:rPr>
              <w:t>43</w:t>
            </w:r>
          </w:p>
        </w:tc>
        <w:tc>
          <w:tcPr>
            <w:tcW w:w="1701" w:type="dxa"/>
            <w:vAlign w:val="center"/>
          </w:tcPr>
          <w:p w:rsidR="00C82A8C" w:rsidRPr="00A03C35" w:rsidRDefault="00C82A8C" w:rsidP="00A77A90">
            <w:pPr>
              <w:rPr>
                <w:rFonts w:cstheme="minorHAnsi"/>
                <w:color w:val="000000"/>
                <w:sz w:val="20"/>
                <w:szCs w:val="20"/>
              </w:rPr>
            </w:pPr>
            <w:r w:rsidRPr="00A03C35">
              <w:rPr>
                <w:rFonts w:cstheme="minorHAnsi"/>
                <w:color w:val="000000"/>
                <w:sz w:val="20"/>
                <w:szCs w:val="20"/>
              </w:rPr>
              <w:t>Random Selection</w:t>
            </w:r>
          </w:p>
        </w:tc>
      </w:tr>
      <w:tr w:rsidR="00C82A8C" w:rsidTr="00A77A90">
        <w:tc>
          <w:tcPr>
            <w:tcW w:w="509" w:type="dxa"/>
            <w:vAlign w:val="center"/>
          </w:tcPr>
          <w:p w:rsidR="00C82A8C" w:rsidRPr="00C4576A" w:rsidRDefault="00C82A8C" w:rsidP="00A77A90">
            <w:pPr>
              <w:rPr>
                <w:rFonts w:cstheme="minorHAnsi"/>
                <w:b/>
                <w:i/>
                <w:color w:val="0B5484" w:themeColor="accent1" w:themeShade="80"/>
                <w:sz w:val="20"/>
                <w:szCs w:val="20"/>
              </w:rPr>
            </w:pPr>
            <w:r w:rsidRPr="00C4576A">
              <w:rPr>
                <w:rFonts w:cstheme="minorHAnsi"/>
                <w:b/>
                <w:i/>
                <w:color w:val="0B5484" w:themeColor="accent1" w:themeShade="80"/>
                <w:sz w:val="20"/>
                <w:szCs w:val="20"/>
              </w:rPr>
              <w:t>9</w:t>
            </w:r>
          </w:p>
        </w:tc>
        <w:tc>
          <w:tcPr>
            <w:tcW w:w="3018" w:type="dxa"/>
            <w:tcBorders>
              <w:top w:val="nil"/>
              <w:left w:val="single" w:sz="4" w:space="0" w:color="auto"/>
              <w:bottom w:val="single" w:sz="4" w:space="0" w:color="auto"/>
              <w:right w:val="single" w:sz="4" w:space="0" w:color="auto"/>
            </w:tcBorders>
            <w:shd w:val="clear" w:color="000000" w:fill="FFFFFF"/>
            <w:vAlign w:val="center"/>
          </w:tcPr>
          <w:p w:rsidR="00C82A8C" w:rsidRPr="00A03C35" w:rsidRDefault="00C82A8C" w:rsidP="00A77A90">
            <w:pPr>
              <w:rPr>
                <w:rFonts w:cstheme="minorHAnsi"/>
                <w:color w:val="000000"/>
                <w:sz w:val="20"/>
                <w:szCs w:val="20"/>
              </w:rPr>
            </w:pPr>
            <w:r w:rsidRPr="00A03C35">
              <w:rPr>
                <w:rFonts w:cstheme="minorHAnsi"/>
                <w:color w:val="000000"/>
                <w:sz w:val="20"/>
                <w:szCs w:val="20"/>
              </w:rPr>
              <w:t xml:space="preserve">Vibrant and Safe Nightlife </w:t>
            </w:r>
          </w:p>
        </w:tc>
        <w:tc>
          <w:tcPr>
            <w:tcW w:w="946" w:type="dxa"/>
            <w:tcBorders>
              <w:top w:val="nil"/>
              <w:left w:val="single" w:sz="4" w:space="0" w:color="auto"/>
              <w:bottom w:val="single" w:sz="4" w:space="0" w:color="auto"/>
              <w:right w:val="single" w:sz="4" w:space="0" w:color="auto"/>
            </w:tcBorders>
            <w:shd w:val="clear" w:color="000000" w:fill="FFFFFF"/>
            <w:vAlign w:val="center"/>
          </w:tcPr>
          <w:p w:rsidR="00C82A8C" w:rsidRPr="00A03C35" w:rsidRDefault="00C82A8C" w:rsidP="00A77A90">
            <w:pPr>
              <w:rPr>
                <w:rFonts w:cstheme="minorHAnsi"/>
                <w:color w:val="262626"/>
                <w:sz w:val="20"/>
                <w:szCs w:val="20"/>
              </w:rPr>
            </w:pPr>
            <w:r w:rsidRPr="00A03C35">
              <w:rPr>
                <w:rFonts w:cstheme="minorHAnsi"/>
                <w:color w:val="262626"/>
                <w:sz w:val="20"/>
                <w:szCs w:val="20"/>
              </w:rPr>
              <w:t>Citizens' Jury</w:t>
            </w:r>
          </w:p>
        </w:tc>
        <w:tc>
          <w:tcPr>
            <w:tcW w:w="2146" w:type="dxa"/>
            <w:tcBorders>
              <w:top w:val="nil"/>
              <w:left w:val="single" w:sz="4" w:space="0" w:color="auto"/>
              <w:bottom w:val="single" w:sz="4" w:space="0" w:color="auto"/>
              <w:right w:val="single" w:sz="4" w:space="0" w:color="auto"/>
            </w:tcBorders>
            <w:shd w:val="clear" w:color="000000" w:fill="FFFFFF"/>
            <w:vAlign w:val="center"/>
          </w:tcPr>
          <w:p w:rsidR="00C82A8C" w:rsidRPr="00A03C35" w:rsidRDefault="00C82A8C" w:rsidP="00A77A90">
            <w:pPr>
              <w:rPr>
                <w:rFonts w:cstheme="minorHAnsi"/>
                <w:color w:val="000000"/>
                <w:sz w:val="20"/>
                <w:szCs w:val="20"/>
              </w:rPr>
            </w:pPr>
            <w:r w:rsidRPr="00A03C35">
              <w:rPr>
                <w:rFonts w:cstheme="minorHAnsi"/>
                <w:color w:val="000000"/>
                <w:sz w:val="20"/>
                <w:szCs w:val="20"/>
              </w:rPr>
              <w:t>Adelaide</w:t>
            </w:r>
          </w:p>
        </w:tc>
        <w:tc>
          <w:tcPr>
            <w:tcW w:w="688" w:type="dxa"/>
            <w:tcBorders>
              <w:top w:val="nil"/>
              <w:left w:val="single" w:sz="4" w:space="0" w:color="auto"/>
              <w:bottom w:val="single" w:sz="4" w:space="0" w:color="auto"/>
              <w:right w:val="single" w:sz="4" w:space="0" w:color="auto"/>
            </w:tcBorders>
            <w:shd w:val="clear" w:color="000000" w:fill="FFFFFF"/>
            <w:vAlign w:val="center"/>
          </w:tcPr>
          <w:p w:rsidR="00C82A8C" w:rsidRPr="00A03C35" w:rsidRDefault="00C82A8C" w:rsidP="00A77A90">
            <w:pPr>
              <w:rPr>
                <w:rFonts w:cstheme="minorHAnsi"/>
                <w:color w:val="000000"/>
                <w:sz w:val="20"/>
                <w:szCs w:val="20"/>
              </w:rPr>
            </w:pPr>
            <w:r w:rsidRPr="00A03C35">
              <w:rPr>
                <w:rFonts w:cstheme="minorHAnsi"/>
                <w:color w:val="000000"/>
                <w:sz w:val="20"/>
                <w:szCs w:val="20"/>
              </w:rPr>
              <w:t>2013</w:t>
            </w:r>
          </w:p>
        </w:tc>
        <w:tc>
          <w:tcPr>
            <w:tcW w:w="953" w:type="dxa"/>
            <w:tcBorders>
              <w:top w:val="nil"/>
              <w:left w:val="single" w:sz="4" w:space="0" w:color="auto"/>
              <w:bottom w:val="single" w:sz="4" w:space="0" w:color="auto"/>
              <w:right w:val="single" w:sz="4" w:space="0" w:color="auto"/>
            </w:tcBorders>
            <w:shd w:val="clear" w:color="000000" w:fill="FFFFFF"/>
            <w:vAlign w:val="center"/>
          </w:tcPr>
          <w:p w:rsidR="00C82A8C" w:rsidRPr="00A03C35" w:rsidRDefault="00C82A8C" w:rsidP="00A77A90">
            <w:pPr>
              <w:rPr>
                <w:rFonts w:cstheme="minorHAnsi"/>
                <w:color w:val="000000"/>
                <w:sz w:val="20"/>
                <w:szCs w:val="20"/>
              </w:rPr>
            </w:pPr>
            <w:r w:rsidRPr="00A03C35">
              <w:rPr>
                <w:rFonts w:cstheme="minorHAnsi"/>
                <w:color w:val="000000"/>
                <w:sz w:val="20"/>
                <w:szCs w:val="20"/>
              </w:rPr>
              <w:t>5 days</w:t>
            </w:r>
          </w:p>
        </w:tc>
        <w:tc>
          <w:tcPr>
            <w:tcW w:w="1238" w:type="dxa"/>
            <w:tcBorders>
              <w:top w:val="nil"/>
              <w:left w:val="single" w:sz="4" w:space="0" w:color="auto"/>
              <w:bottom w:val="single" w:sz="4" w:space="0" w:color="auto"/>
              <w:right w:val="single" w:sz="4" w:space="0" w:color="auto"/>
            </w:tcBorders>
            <w:shd w:val="clear" w:color="000000" w:fill="FFFFFF"/>
            <w:vAlign w:val="center"/>
          </w:tcPr>
          <w:p w:rsidR="00C82A8C" w:rsidRPr="00A03C35" w:rsidRDefault="00C82A8C" w:rsidP="00A77A90">
            <w:pPr>
              <w:rPr>
                <w:rFonts w:cstheme="minorHAnsi"/>
                <w:color w:val="000000"/>
                <w:sz w:val="20"/>
                <w:szCs w:val="20"/>
              </w:rPr>
            </w:pPr>
            <w:r w:rsidRPr="00A03C35">
              <w:rPr>
                <w:rFonts w:cstheme="minorHAnsi"/>
                <w:color w:val="000000"/>
                <w:sz w:val="20"/>
                <w:szCs w:val="20"/>
              </w:rPr>
              <w:t>43</w:t>
            </w:r>
          </w:p>
        </w:tc>
        <w:tc>
          <w:tcPr>
            <w:tcW w:w="1701" w:type="dxa"/>
            <w:vAlign w:val="center"/>
          </w:tcPr>
          <w:p w:rsidR="00C82A8C" w:rsidRPr="00A03C35" w:rsidRDefault="00C82A8C" w:rsidP="00A77A90">
            <w:pPr>
              <w:rPr>
                <w:rFonts w:cstheme="minorHAnsi"/>
                <w:color w:val="000000"/>
                <w:sz w:val="20"/>
                <w:szCs w:val="20"/>
              </w:rPr>
            </w:pPr>
            <w:r w:rsidRPr="00A03C35">
              <w:rPr>
                <w:rFonts w:cstheme="minorHAnsi"/>
                <w:color w:val="000000"/>
                <w:sz w:val="20"/>
                <w:szCs w:val="20"/>
              </w:rPr>
              <w:t>Random Selection</w:t>
            </w:r>
          </w:p>
        </w:tc>
      </w:tr>
      <w:tr w:rsidR="00C82A8C" w:rsidTr="00A77A90">
        <w:tc>
          <w:tcPr>
            <w:tcW w:w="509" w:type="dxa"/>
            <w:vAlign w:val="center"/>
          </w:tcPr>
          <w:p w:rsidR="00C82A8C" w:rsidRPr="00C4576A" w:rsidRDefault="00C82A8C" w:rsidP="00A77A90">
            <w:pPr>
              <w:rPr>
                <w:rFonts w:cstheme="minorHAnsi"/>
                <w:b/>
                <w:i/>
                <w:color w:val="0B5484" w:themeColor="accent1" w:themeShade="80"/>
                <w:sz w:val="20"/>
                <w:szCs w:val="20"/>
              </w:rPr>
            </w:pPr>
            <w:r w:rsidRPr="00C4576A">
              <w:rPr>
                <w:rFonts w:cstheme="minorHAnsi"/>
                <w:b/>
                <w:i/>
                <w:color w:val="0B5484" w:themeColor="accent1" w:themeShade="80"/>
                <w:sz w:val="20"/>
                <w:szCs w:val="20"/>
              </w:rPr>
              <w:t>10</w:t>
            </w:r>
          </w:p>
        </w:tc>
        <w:tc>
          <w:tcPr>
            <w:tcW w:w="3018" w:type="dxa"/>
            <w:tcBorders>
              <w:top w:val="nil"/>
              <w:left w:val="single" w:sz="4" w:space="0" w:color="auto"/>
              <w:bottom w:val="single" w:sz="4" w:space="0" w:color="auto"/>
              <w:right w:val="single" w:sz="4" w:space="0" w:color="auto"/>
            </w:tcBorders>
            <w:shd w:val="clear" w:color="auto" w:fill="auto"/>
            <w:vAlign w:val="center"/>
          </w:tcPr>
          <w:p w:rsidR="00C82A8C" w:rsidRPr="00A03C35" w:rsidRDefault="00C82A8C" w:rsidP="00A77A90">
            <w:pPr>
              <w:rPr>
                <w:rFonts w:cstheme="minorHAnsi"/>
                <w:color w:val="000000"/>
                <w:sz w:val="20"/>
                <w:szCs w:val="20"/>
              </w:rPr>
            </w:pPr>
            <w:r w:rsidRPr="00A03C35">
              <w:rPr>
                <w:rFonts w:cstheme="minorHAnsi"/>
                <w:color w:val="000000"/>
                <w:sz w:val="20"/>
                <w:szCs w:val="20"/>
              </w:rPr>
              <w:t>Food labelling </w:t>
            </w:r>
          </w:p>
        </w:tc>
        <w:tc>
          <w:tcPr>
            <w:tcW w:w="946" w:type="dxa"/>
            <w:tcBorders>
              <w:top w:val="nil"/>
              <w:left w:val="single" w:sz="4" w:space="0" w:color="auto"/>
              <w:bottom w:val="single" w:sz="4" w:space="0" w:color="auto"/>
              <w:right w:val="single" w:sz="4" w:space="0" w:color="auto"/>
            </w:tcBorders>
            <w:shd w:val="clear" w:color="000000" w:fill="FFFFFF"/>
            <w:vAlign w:val="center"/>
          </w:tcPr>
          <w:p w:rsidR="00C82A8C" w:rsidRPr="00A03C35" w:rsidRDefault="00C82A8C" w:rsidP="00A77A90">
            <w:pPr>
              <w:rPr>
                <w:rFonts w:cstheme="minorHAnsi"/>
                <w:color w:val="262626"/>
                <w:sz w:val="20"/>
                <w:szCs w:val="20"/>
              </w:rPr>
            </w:pPr>
            <w:r w:rsidRPr="00A03C35">
              <w:rPr>
                <w:rFonts w:cstheme="minorHAnsi"/>
                <w:color w:val="262626"/>
                <w:sz w:val="20"/>
                <w:szCs w:val="20"/>
              </w:rPr>
              <w:t>Citizens' Jury</w:t>
            </w:r>
          </w:p>
        </w:tc>
        <w:tc>
          <w:tcPr>
            <w:tcW w:w="2146" w:type="dxa"/>
            <w:tcBorders>
              <w:top w:val="nil"/>
              <w:left w:val="single" w:sz="4" w:space="0" w:color="auto"/>
              <w:bottom w:val="single" w:sz="4" w:space="0" w:color="auto"/>
              <w:right w:val="single" w:sz="4" w:space="0" w:color="auto"/>
            </w:tcBorders>
            <w:shd w:val="clear" w:color="auto" w:fill="auto"/>
            <w:vAlign w:val="center"/>
          </w:tcPr>
          <w:p w:rsidR="00C82A8C" w:rsidRPr="00A03C35" w:rsidRDefault="00C82A8C" w:rsidP="00A77A90">
            <w:pPr>
              <w:rPr>
                <w:rFonts w:cstheme="minorHAnsi"/>
                <w:color w:val="000000"/>
                <w:sz w:val="20"/>
                <w:szCs w:val="20"/>
              </w:rPr>
            </w:pPr>
            <w:r w:rsidRPr="00A03C35">
              <w:rPr>
                <w:rFonts w:cstheme="minorHAnsi"/>
                <w:color w:val="000000"/>
                <w:sz w:val="20"/>
                <w:szCs w:val="20"/>
              </w:rPr>
              <w:t>Adelaide</w:t>
            </w:r>
          </w:p>
        </w:tc>
        <w:tc>
          <w:tcPr>
            <w:tcW w:w="688" w:type="dxa"/>
            <w:tcBorders>
              <w:top w:val="nil"/>
              <w:left w:val="single" w:sz="4" w:space="0" w:color="auto"/>
              <w:bottom w:val="single" w:sz="4" w:space="0" w:color="auto"/>
              <w:right w:val="single" w:sz="4" w:space="0" w:color="auto"/>
            </w:tcBorders>
            <w:shd w:val="clear" w:color="auto" w:fill="auto"/>
            <w:vAlign w:val="center"/>
          </w:tcPr>
          <w:p w:rsidR="00C82A8C" w:rsidRPr="00A03C35" w:rsidRDefault="00C82A8C" w:rsidP="00A77A90">
            <w:pPr>
              <w:rPr>
                <w:rFonts w:cstheme="minorHAnsi"/>
                <w:color w:val="000000"/>
                <w:sz w:val="20"/>
                <w:szCs w:val="20"/>
              </w:rPr>
            </w:pPr>
            <w:r w:rsidRPr="00A03C35">
              <w:rPr>
                <w:rFonts w:cstheme="minorHAnsi"/>
                <w:color w:val="000000"/>
                <w:sz w:val="20"/>
                <w:szCs w:val="20"/>
              </w:rPr>
              <w:t>2014</w:t>
            </w:r>
          </w:p>
        </w:tc>
        <w:tc>
          <w:tcPr>
            <w:tcW w:w="953" w:type="dxa"/>
            <w:tcBorders>
              <w:top w:val="nil"/>
              <w:left w:val="single" w:sz="4" w:space="0" w:color="auto"/>
              <w:bottom w:val="single" w:sz="4" w:space="0" w:color="auto"/>
              <w:right w:val="single" w:sz="4" w:space="0" w:color="auto"/>
            </w:tcBorders>
            <w:shd w:val="clear" w:color="auto" w:fill="auto"/>
            <w:vAlign w:val="center"/>
          </w:tcPr>
          <w:p w:rsidR="00C82A8C" w:rsidRPr="00A03C35" w:rsidRDefault="00C82A8C" w:rsidP="00A77A90">
            <w:pPr>
              <w:rPr>
                <w:rFonts w:cstheme="minorHAnsi"/>
                <w:color w:val="000000"/>
                <w:sz w:val="20"/>
                <w:szCs w:val="20"/>
              </w:rPr>
            </w:pPr>
            <w:r w:rsidRPr="00A03C35">
              <w:rPr>
                <w:rFonts w:cstheme="minorHAnsi"/>
                <w:color w:val="000000"/>
                <w:sz w:val="20"/>
                <w:szCs w:val="20"/>
              </w:rPr>
              <w:t>4 hours</w:t>
            </w:r>
          </w:p>
        </w:tc>
        <w:tc>
          <w:tcPr>
            <w:tcW w:w="1238" w:type="dxa"/>
            <w:tcBorders>
              <w:top w:val="nil"/>
              <w:left w:val="single" w:sz="4" w:space="0" w:color="auto"/>
              <w:bottom w:val="single" w:sz="4" w:space="0" w:color="auto"/>
              <w:right w:val="single" w:sz="4" w:space="0" w:color="auto"/>
            </w:tcBorders>
            <w:shd w:val="clear" w:color="auto" w:fill="auto"/>
            <w:vAlign w:val="center"/>
          </w:tcPr>
          <w:p w:rsidR="00C82A8C" w:rsidRPr="00A03C35" w:rsidRDefault="00C82A8C" w:rsidP="00A77A90">
            <w:pPr>
              <w:rPr>
                <w:rFonts w:cstheme="minorHAnsi"/>
                <w:color w:val="000000"/>
                <w:sz w:val="20"/>
                <w:szCs w:val="20"/>
              </w:rPr>
            </w:pPr>
            <w:r w:rsidRPr="00A03C35">
              <w:rPr>
                <w:rFonts w:cstheme="minorHAnsi"/>
                <w:color w:val="000000"/>
                <w:sz w:val="20"/>
                <w:szCs w:val="20"/>
              </w:rPr>
              <w:t>14</w:t>
            </w:r>
          </w:p>
        </w:tc>
        <w:tc>
          <w:tcPr>
            <w:tcW w:w="1701" w:type="dxa"/>
            <w:vAlign w:val="center"/>
          </w:tcPr>
          <w:p w:rsidR="00C82A8C" w:rsidRPr="00A03C35" w:rsidRDefault="00C82A8C" w:rsidP="00A77A90">
            <w:pPr>
              <w:rPr>
                <w:rFonts w:cstheme="minorHAnsi"/>
                <w:color w:val="000000"/>
                <w:sz w:val="20"/>
                <w:szCs w:val="20"/>
              </w:rPr>
            </w:pPr>
            <w:r w:rsidRPr="00A03C35">
              <w:rPr>
                <w:rFonts w:cstheme="minorHAnsi"/>
                <w:color w:val="000000"/>
                <w:sz w:val="20"/>
                <w:szCs w:val="20"/>
              </w:rPr>
              <w:t>Stratification</w:t>
            </w:r>
          </w:p>
        </w:tc>
      </w:tr>
      <w:tr w:rsidR="00C82A8C" w:rsidTr="00A77A90">
        <w:tc>
          <w:tcPr>
            <w:tcW w:w="509" w:type="dxa"/>
            <w:vAlign w:val="center"/>
          </w:tcPr>
          <w:p w:rsidR="00C82A8C" w:rsidRPr="00C4576A" w:rsidRDefault="00C82A8C" w:rsidP="00A77A90">
            <w:pPr>
              <w:rPr>
                <w:rFonts w:cstheme="minorHAnsi"/>
                <w:b/>
                <w:i/>
                <w:color w:val="0B5484" w:themeColor="accent1" w:themeShade="80"/>
                <w:sz w:val="20"/>
                <w:szCs w:val="20"/>
              </w:rPr>
            </w:pPr>
            <w:r w:rsidRPr="00C4576A">
              <w:rPr>
                <w:rFonts w:cstheme="minorHAnsi"/>
                <w:b/>
                <w:i/>
                <w:color w:val="0B5484" w:themeColor="accent1" w:themeShade="80"/>
                <w:sz w:val="20"/>
                <w:szCs w:val="20"/>
              </w:rPr>
              <w:t>11</w:t>
            </w:r>
          </w:p>
        </w:tc>
        <w:tc>
          <w:tcPr>
            <w:tcW w:w="3018" w:type="dxa"/>
            <w:tcBorders>
              <w:top w:val="nil"/>
              <w:left w:val="single" w:sz="4" w:space="0" w:color="auto"/>
              <w:bottom w:val="single" w:sz="4" w:space="0" w:color="auto"/>
              <w:right w:val="single" w:sz="4" w:space="0" w:color="auto"/>
            </w:tcBorders>
            <w:shd w:val="clear" w:color="auto" w:fill="auto"/>
            <w:vAlign w:val="center"/>
          </w:tcPr>
          <w:p w:rsidR="00C82A8C" w:rsidRPr="00A03C35" w:rsidRDefault="00C82A8C" w:rsidP="00A77A90">
            <w:pPr>
              <w:rPr>
                <w:rFonts w:cstheme="minorHAnsi"/>
                <w:color w:val="000000"/>
                <w:sz w:val="20"/>
                <w:szCs w:val="20"/>
              </w:rPr>
            </w:pPr>
            <w:proofErr w:type="spellStart"/>
            <w:r w:rsidRPr="00A03C35">
              <w:rPr>
                <w:rFonts w:cstheme="minorHAnsi"/>
                <w:color w:val="000000"/>
                <w:sz w:val="20"/>
                <w:szCs w:val="20"/>
              </w:rPr>
              <w:t>Marrickville</w:t>
            </w:r>
            <w:proofErr w:type="spellEnd"/>
            <w:r w:rsidRPr="00A03C35">
              <w:rPr>
                <w:rFonts w:cstheme="minorHAnsi"/>
                <w:color w:val="000000"/>
                <w:sz w:val="20"/>
                <w:szCs w:val="20"/>
              </w:rPr>
              <w:t xml:space="preserve"> Infrastructure </w:t>
            </w:r>
          </w:p>
        </w:tc>
        <w:tc>
          <w:tcPr>
            <w:tcW w:w="946" w:type="dxa"/>
            <w:tcBorders>
              <w:top w:val="nil"/>
              <w:left w:val="single" w:sz="4" w:space="0" w:color="auto"/>
              <w:bottom w:val="single" w:sz="4" w:space="0" w:color="auto"/>
              <w:right w:val="single" w:sz="4" w:space="0" w:color="auto"/>
            </w:tcBorders>
            <w:shd w:val="clear" w:color="000000" w:fill="FFFFFF"/>
            <w:vAlign w:val="center"/>
          </w:tcPr>
          <w:p w:rsidR="00C82A8C" w:rsidRPr="00A03C35" w:rsidRDefault="00C82A8C" w:rsidP="00A77A90">
            <w:pPr>
              <w:rPr>
                <w:rFonts w:cstheme="minorHAnsi"/>
                <w:color w:val="262626"/>
                <w:sz w:val="20"/>
                <w:szCs w:val="20"/>
              </w:rPr>
            </w:pPr>
            <w:r w:rsidRPr="00A03C35">
              <w:rPr>
                <w:rFonts w:cstheme="minorHAnsi"/>
                <w:color w:val="262626"/>
                <w:sz w:val="20"/>
                <w:szCs w:val="20"/>
              </w:rPr>
              <w:t>Citizens' Jury</w:t>
            </w:r>
          </w:p>
        </w:tc>
        <w:tc>
          <w:tcPr>
            <w:tcW w:w="2146" w:type="dxa"/>
            <w:tcBorders>
              <w:top w:val="nil"/>
              <w:left w:val="single" w:sz="4" w:space="0" w:color="auto"/>
              <w:bottom w:val="single" w:sz="4" w:space="0" w:color="auto"/>
              <w:right w:val="single" w:sz="4" w:space="0" w:color="auto"/>
            </w:tcBorders>
            <w:shd w:val="clear" w:color="auto" w:fill="auto"/>
            <w:vAlign w:val="center"/>
          </w:tcPr>
          <w:p w:rsidR="00C82A8C" w:rsidRPr="00A03C35" w:rsidRDefault="00C82A8C" w:rsidP="00A77A90">
            <w:pPr>
              <w:rPr>
                <w:rFonts w:cstheme="minorHAnsi"/>
                <w:color w:val="000000"/>
                <w:sz w:val="20"/>
                <w:szCs w:val="20"/>
              </w:rPr>
            </w:pPr>
            <w:r w:rsidRPr="00A03C35">
              <w:rPr>
                <w:rFonts w:cstheme="minorHAnsi"/>
                <w:color w:val="000000"/>
                <w:sz w:val="20"/>
                <w:szCs w:val="20"/>
              </w:rPr>
              <w:t>Sydney</w:t>
            </w:r>
          </w:p>
        </w:tc>
        <w:tc>
          <w:tcPr>
            <w:tcW w:w="688" w:type="dxa"/>
            <w:tcBorders>
              <w:top w:val="nil"/>
              <w:left w:val="single" w:sz="4" w:space="0" w:color="auto"/>
              <w:bottom w:val="single" w:sz="4" w:space="0" w:color="auto"/>
              <w:right w:val="single" w:sz="4" w:space="0" w:color="auto"/>
            </w:tcBorders>
            <w:shd w:val="clear" w:color="auto" w:fill="auto"/>
            <w:vAlign w:val="center"/>
          </w:tcPr>
          <w:p w:rsidR="00C82A8C" w:rsidRPr="00A03C35" w:rsidRDefault="00C82A8C" w:rsidP="00A77A90">
            <w:pPr>
              <w:rPr>
                <w:rFonts w:cstheme="minorHAnsi"/>
                <w:color w:val="000000"/>
                <w:sz w:val="20"/>
                <w:szCs w:val="20"/>
              </w:rPr>
            </w:pPr>
            <w:r w:rsidRPr="00A03C35">
              <w:rPr>
                <w:rFonts w:cstheme="minorHAnsi"/>
                <w:color w:val="000000"/>
                <w:sz w:val="20"/>
                <w:szCs w:val="20"/>
              </w:rPr>
              <w:t>2014</w:t>
            </w:r>
          </w:p>
        </w:tc>
        <w:tc>
          <w:tcPr>
            <w:tcW w:w="953" w:type="dxa"/>
            <w:tcBorders>
              <w:top w:val="nil"/>
              <w:left w:val="single" w:sz="4" w:space="0" w:color="auto"/>
              <w:bottom w:val="single" w:sz="4" w:space="0" w:color="auto"/>
              <w:right w:val="single" w:sz="4" w:space="0" w:color="auto"/>
            </w:tcBorders>
            <w:shd w:val="clear" w:color="auto" w:fill="auto"/>
            <w:vAlign w:val="center"/>
          </w:tcPr>
          <w:p w:rsidR="00C82A8C" w:rsidRPr="00A03C35" w:rsidRDefault="00C82A8C" w:rsidP="00A77A90">
            <w:pPr>
              <w:rPr>
                <w:rFonts w:cstheme="minorHAnsi"/>
                <w:color w:val="000000"/>
                <w:sz w:val="20"/>
                <w:szCs w:val="20"/>
              </w:rPr>
            </w:pPr>
            <w:r w:rsidRPr="00A03C35">
              <w:rPr>
                <w:rFonts w:cstheme="minorHAnsi"/>
                <w:color w:val="000000"/>
                <w:sz w:val="20"/>
                <w:szCs w:val="20"/>
              </w:rPr>
              <w:t>6 days</w:t>
            </w:r>
          </w:p>
        </w:tc>
        <w:tc>
          <w:tcPr>
            <w:tcW w:w="1238" w:type="dxa"/>
            <w:tcBorders>
              <w:top w:val="nil"/>
              <w:left w:val="single" w:sz="4" w:space="0" w:color="auto"/>
              <w:bottom w:val="single" w:sz="4" w:space="0" w:color="auto"/>
              <w:right w:val="single" w:sz="4" w:space="0" w:color="auto"/>
            </w:tcBorders>
            <w:shd w:val="clear" w:color="auto" w:fill="auto"/>
            <w:vAlign w:val="center"/>
          </w:tcPr>
          <w:p w:rsidR="00C82A8C" w:rsidRPr="00A03C35" w:rsidRDefault="00C82A8C" w:rsidP="00A77A90">
            <w:pPr>
              <w:rPr>
                <w:rFonts w:cstheme="minorHAnsi"/>
                <w:color w:val="000000"/>
                <w:sz w:val="20"/>
                <w:szCs w:val="20"/>
              </w:rPr>
            </w:pPr>
            <w:r w:rsidRPr="00A03C35">
              <w:rPr>
                <w:rFonts w:cstheme="minorHAnsi"/>
                <w:color w:val="000000"/>
                <w:sz w:val="20"/>
                <w:szCs w:val="20"/>
              </w:rPr>
              <w:t>30</w:t>
            </w:r>
          </w:p>
        </w:tc>
        <w:tc>
          <w:tcPr>
            <w:tcW w:w="1701" w:type="dxa"/>
            <w:vAlign w:val="center"/>
          </w:tcPr>
          <w:p w:rsidR="00C82A8C" w:rsidRPr="00A03C35" w:rsidRDefault="00C82A8C" w:rsidP="00A77A90">
            <w:pPr>
              <w:rPr>
                <w:rFonts w:cstheme="minorHAnsi"/>
                <w:color w:val="000000"/>
                <w:sz w:val="20"/>
                <w:szCs w:val="20"/>
              </w:rPr>
            </w:pPr>
            <w:r w:rsidRPr="00A03C35">
              <w:rPr>
                <w:rFonts w:cstheme="minorHAnsi"/>
                <w:color w:val="000000"/>
                <w:sz w:val="20"/>
                <w:szCs w:val="20"/>
              </w:rPr>
              <w:t>Random selection</w:t>
            </w:r>
          </w:p>
        </w:tc>
      </w:tr>
      <w:tr w:rsidR="00C82A8C" w:rsidTr="00A77A90">
        <w:tc>
          <w:tcPr>
            <w:tcW w:w="509" w:type="dxa"/>
            <w:vAlign w:val="center"/>
          </w:tcPr>
          <w:p w:rsidR="00C82A8C" w:rsidRPr="00C4576A" w:rsidRDefault="00C82A8C" w:rsidP="00A77A90">
            <w:pPr>
              <w:rPr>
                <w:rFonts w:cstheme="minorHAnsi"/>
                <w:b/>
                <w:i/>
                <w:color w:val="0B5484" w:themeColor="accent1" w:themeShade="80"/>
                <w:sz w:val="20"/>
                <w:szCs w:val="20"/>
              </w:rPr>
            </w:pPr>
            <w:r w:rsidRPr="00C4576A">
              <w:rPr>
                <w:rFonts w:cstheme="minorHAnsi"/>
                <w:b/>
                <w:i/>
                <w:color w:val="0B5484" w:themeColor="accent1" w:themeShade="80"/>
                <w:sz w:val="20"/>
                <w:szCs w:val="20"/>
              </w:rPr>
              <w:t>12</w:t>
            </w:r>
          </w:p>
        </w:tc>
        <w:tc>
          <w:tcPr>
            <w:tcW w:w="3018" w:type="dxa"/>
            <w:tcBorders>
              <w:top w:val="nil"/>
              <w:left w:val="single" w:sz="4" w:space="0" w:color="auto"/>
              <w:bottom w:val="single" w:sz="4" w:space="0" w:color="auto"/>
              <w:right w:val="single" w:sz="4" w:space="0" w:color="auto"/>
            </w:tcBorders>
            <w:shd w:val="clear" w:color="auto" w:fill="auto"/>
            <w:vAlign w:val="center"/>
          </w:tcPr>
          <w:p w:rsidR="00C82A8C" w:rsidRPr="00A03C35" w:rsidRDefault="00C82A8C" w:rsidP="00A77A90">
            <w:pPr>
              <w:rPr>
                <w:rFonts w:cstheme="minorHAnsi"/>
                <w:color w:val="000000"/>
                <w:sz w:val="20"/>
                <w:szCs w:val="20"/>
              </w:rPr>
            </w:pPr>
            <w:r w:rsidRPr="00A03C35">
              <w:rPr>
                <w:rFonts w:cstheme="minorHAnsi"/>
                <w:color w:val="000000"/>
                <w:sz w:val="20"/>
                <w:szCs w:val="20"/>
              </w:rPr>
              <w:t>Adolescent vaccinations</w:t>
            </w:r>
          </w:p>
        </w:tc>
        <w:tc>
          <w:tcPr>
            <w:tcW w:w="946" w:type="dxa"/>
            <w:tcBorders>
              <w:top w:val="nil"/>
              <w:left w:val="single" w:sz="4" w:space="0" w:color="auto"/>
              <w:bottom w:val="single" w:sz="4" w:space="0" w:color="auto"/>
              <w:right w:val="single" w:sz="4" w:space="0" w:color="auto"/>
            </w:tcBorders>
            <w:shd w:val="clear" w:color="000000" w:fill="FFFFFF"/>
            <w:vAlign w:val="center"/>
          </w:tcPr>
          <w:p w:rsidR="00C82A8C" w:rsidRPr="00A03C35" w:rsidRDefault="00C82A8C" w:rsidP="00A77A90">
            <w:pPr>
              <w:rPr>
                <w:rFonts w:cstheme="minorHAnsi"/>
                <w:color w:val="262626"/>
                <w:sz w:val="20"/>
                <w:szCs w:val="20"/>
              </w:rPr>
            </w:pPr>
            <w:r w:rsidRPr="00A03C35">
              <w:rPr>
                <w:rFonts w:cstheme="minorHAnsi"/>
                <w:color w:val="262626"/>
                <w:sz w:val="20"/>
                <w:szCs w:val="20"/>
              </w:rPr>
              <w:t>Citizens' Jury</w:t>
            </w:r>
          </w:p>
        </w:tc>
        <w:tc>
          <w:tcPr>
            <w:tcW w:w="2146" w:type="dxa"/>
            <w:tcBorders>
              <w:top w:val="nil"/>
              <w:left w:val="single" w:sz="4" w:space="0" w:color="auto"/>
              <w:bottom w:val="single" w:sz="4" w:space="0" w:color="auto"/>
              <w:right w:val="single" w:sz="4" w:space="0" w:color="auto"/>
            </w:tcBorders>
            <w:shd w:val="clear" w:color="auto" w:fill="auto"/>
            <w:vAlign w:val="center"/>
          </w:tcPr>
          <w:p w:rsidR="00C82A8C" w:rsidRPr="00A03C35" w:rsidRDefault="00C82A8C" w:rsidP="00A77A90">
            <w:pPr>
              <w:rPr>
                <w:rFonts w:cstheme="minorHAnsi"/>
                <w:color w:val="000000"/>
                <w:sz w:val="20"/>
                <w:szCs w:val="20"/>
              </w:rPr>
            </w:pPr>
            <w:r w:rsidRPr="00A03C35">
              <w:rPr>
                <w:rFonts w:cstheme="minorHAnsi"/>
                <w:color w:val="000000"/>
                <w:sz w:val="20"/>
                <w:szCs w:val="20"/>
              </w:rPr>
              <w:t>Adelaide</w:t>
            </w:r>
          </w:p>
        </w:tc>
        <w:tc>
          <w:tcPr>
            <w:tcW w:w="688" w:type="dxa"/>
            <w:tcBorders>
              <w:top w:val="nil"/>
              <w:left w:val="single" w:sz="4" w:space="0" w:color="auto"/>
              <w:bottom w:val="single" w:sz="4" w:space="0" w:color="auto"/>
              <w:right w:val="single" w:sz="4" w:space="0" w:color="auto"/>
            </w:tcBorders>
            <w:shd w:val="clear" w:color="auto" w:fill="auto"/>
            <w:vAlign w:val="center"/>
          </w:tcPr>
          <w:p w:rsidR="00C82A8C" w:rsidRPr="00A03C35" w:rsidRDefault="00C82A8C" w:rsidP="00A77A90">
            <w:pPr>
              <w:rPr>
                <w:rFonts w:cstheme="minorHAnsi"/>
                <w:color w:val="000000"/>
                <w:sz w:val="20"/>
                <w:szCs w:val="20"/>
              </w:rPr>
            </w:pPr>
            <w:r w:rsidRPr="00A03C35">
              <w:rPr>
                <w:rFonts w:cstheme="minorHAnsi"/>
                <w:color w:val="000000"/>
                <w:sz w:val="20"/>
                <w:szCs w:val="20"/>
              </w:rPr>
              <w:t>2015</w:t>
            </w:r>
          </w:p>
        </w:tc>
        <w:tc>
          <w:tcPr>
            <w:tcW w:w="953" w:type="dxa"/>
            <w:tcBorders>
              <w:top w:val="nil"/>
              <w:left w:val="single" w:sz="4" w:space="0" w:color="auto"/>
              <w:bottom w:val="single" w:sz="4" w:space="0" w:color="auto"/>
              <w:right w:val="single" w:sz="4" w:space="0" w:color="auto"/>
            </w:tcBorders>
            <w:shd w:val="clear" w:color="auto" w:fill="auto"/>
            <w:vAlign w:val="center"/>
          </w:tcPr>
          <w:p w:rsidR="00C82A8C" w:rsidRPr="00A03C35" w:rsidRDefault="00C82A8C" w:rsidP="00A77A90">
            <w:pPr>
              <w:rPr>
                <w:rFonts w:cstheme="minorHAnsi"/>
                <w:color w:val="000000"/>
                <w:sz w:val="20"/>
                <w:szCs w:val="20"/>
              </w:rPr>
            </w:pPr>
            <w:r w:rsidRPr="00A03C35">
              <w:rPr>
                <w:rFonts w:cstheme="minorHAnsi"/>
                <w:color w:val="000000"/>
                <w:sz w:val="20"/>
                <w:szCs w:val="20"/>
              </w:rPr>
              <w:t>2 days</w:t>
            </w:r>
          </w:p>
        </w:tc>
        <w:tc>
          <w:tcPr>
            <w:tcW w:w="1238" w:type="dxa"/>
            <w:tcBorders>
              <w:top w:val="nil"/>
              <w:left w:val="single" w:sz="4" w:space="0" w:color="auto"/>
              <w:bottom w:val="single" w:sz="4" w:space="0" w:color="auto"/>
              <w:right w:val="single" w:sz="4" w:space="0" w:color="auto"/>
            </w:tcBorders>
            <w:shd w:val="clear" w:color="auto" w:fill="auto"/>
            <w:vAlign w:val="center"/>
          </w:tcPr>
          <w:p w:rsidR="00C82A8C" w:rsidRPr="00A03C35" w:rsidRDefault="00C82A8C" w:rsidP="00A77A90">
            <w:pPr>
              <w:rPr>
                <w:rFonts w:cstheme="minorHAnsi"/>
                <w:color w:val="000000"/>
                <w:sz w:val="20"/>
                <w:szCs w:val="20"/>
              </w:rPr>
            </w:pPr>
            <w:r w:rsidRPr="00A03C35">
              <w:rPr>
                <w:rFonts w:cstheme="minorHAnsi"/>
                <w:color w:val="000000"/>
                <w:sz w:val="20"/>
                <w:szCs w:val="20"/>
              </w:rPr>
              <w:t>15</w:t>
            </w:r>
          </w:p>
        </w:tc>
        <w:tc>
          <w:tcPr>
            <w:tcW w:w="1701" w:type="dxa"/>
            <w:vAlign w:val="center"/>
          </w:tcPr>
          <w:p w:rsidR="00C82A8C" w:rsidRPr="00A03C35" w:rsidRDefault="00C82A8C" w:rsidP="00A77A90">
            <w:pPr>
              <w:rPr>
                <w:rFonts w:cstheme="minorHAnsi"/>
                <w:color w:val="000000"/>
                <w:sz w:val="20"/>
                <w:szCs w:val="20"/>
              </w:rPr>
            </w:pPr>
            <w:r w:rsidRPr="00A03C35">
              <w:rPr>
                <w:rFonts w:cstheme="minorHAnsi"/>
                <w:color w:val="000000"/>
                <w:sz w:val="20"/>
                <w:szCs w:val="20"/>
              </w:rPr>
              <w:t>Stratification</w:t>
            </w:r>
          </w:p>
        </w:tc>
      </w:tr>
      <w:tr w:rsidR="00C82A8C" w:rsidTr="00A77A90">
        <w:tc>
          <w:tcPr>
            <w:tcW w:w="509" w:type="dxa"/>
            <w:vAlign w:val="center"/>
          </w:tcPr>
          <w:p w:rsidR="00C82A8C" w:rsidRPr="00C4576A" w:rsidRDefault="00C82A8C" w:rsidP="00A77A90">
            <w:pPr>
              <w:rPr>
                <w:rFonts w:cstheme="minorHAnsi"/>
                <w:b/>
                <w:i/>
                <w:color w:val="0B5484" w:themeColor="accent1" w:themeShade="80"/>
                <w:sz w:val="20"/>
                <w:szCs w:val="20"/>
              </w:rPr>
            </w:pPr>
            <w:r w:rsidRPr="00C4576A">
              <w:rPr>
                <w:rFonts w:cstheme="minorHAnsi"/>
                <w:b/>
                <w:i/>
                <w:color w:val="0B5484" w:themeColor="accent1" w:themeShade="80"/>
                <w:sz w:val="20"/>
                <w:szCs w:val="20"/>
              </w:rPr>
              <w:t>13</w:t>
            </w:r>
          </w:p>
        </w:tc>
        <w:tc>
          <w:tcPr>
            <w:tcW w:w="3018" w:type="dxa"/>
            <w:tcBorders>
              <w:top w:val="nil"/>
              <w:left w:val="single" w:sz="4" w:space="0" w:color="auto"/>
              <w:bottom w:val="single" w:sz="4" w:space="0" w:color="auto"/>
              <w:right w:val="single" w:sz="4" w:space="0" w:color="auto"/>
            </w:tcBorders>
            <w:shd w:val="clear" w:color="auto" w:fill="auto"/>
            <w:vAlign w:val="center"/>
          </w:tcPr>
          <w:p w:rsidR="00C82A8C" w:rsidRPr="00A03C35" w:rsidRDefault="00C82A8C" w:rsidP="00A77A90">
            <w:pPr>
              <w:rPr>
                <w:rFonts w:cstheme="minorHAnsi"/>
                <w:color w:val="000000"/>
                <w:sz w:val="20"/>
                <w:szCs w:val="20"/>
              </w:rPr>
            </w:pPr>
            <w:r w:rsidRPr="00A03C35">
              <w:rPr>
                <w:rFonts w:cstheme="minorHAnsi"/>
                <w:color w:val="000000"/>
                <w:sz w:val="20"/>
                <w:szCs w:val="20"/>
              </w:rPr>
              <w:t>Regulation and law for obesity prevention in children</w:t>
            </w:r>
          </w:p>
        </w:tc>
        <w:tc>
          <w:tcPr>
            <w:tcW w:w="946" w:type="dxa"/>
            <w:tcBorders>
              <w:top w:val="nil"/>
              <w:left w:val="single" w:sz="4" w:space="0" w:color="auto"/>
              <w:bottom w:val="single" w:sz="4" w:space="0" w:color="auto"/>
              <w:right w:val="single" w:sz="4" w:space="0" w:color="auto"/>
            </w:tcBorders>
            <w:shd w:val="clear" w:color="000000" w:fill="FFFFFF"/>
            <w:vAlign w:val="center"/>
          </w:tcPr>
          <w:p w:rsidR="00C82A8C" w:rsidRPr="00A03C35" w:rsidRDefault="00C82A8C" w:rsidP="00A77A90">
            <w:pPr>
              <w:rPr>
                <w:rFonts w:cstheme="minorHAnsi"/>
                <w:color w:val="262626"/>
                <w:sz w:val="20"/>
                <w:szCs w:val="20"/>
              </w:rPr>
            </w:pPr>
            <w:r w:rsidRPr="00A03C35">
              <w:rPr>
                <w:rFonts w:cstheme="minorHAnsi"/>
                <w:color w:val="262626"/>
                <w:sz w:val="20"/>
                <w:szCs w:val="20"/>
              </w:rPr>
              <w:t>Citizens' Jury</w:t>
            </w:r>
          </w:p>
        </w:tc>
        <w:tc>
          <w:tcPr>
            <w:tcW w:w="2146" w:type="dxa"/>
            <w:tcBorders>
              <w:top w:val="nil"/>
              <w:left w:val="single" w:sz="4" w:space="0" w:color="auto"/>
              <w:bottom w:val="single" w:sz="4" w:space="0" w:color="auto"/>
              <w:right w:val="single" w:sz="4" w:space="0" w:color="auto"/>
            </w:tcBorders>
            <w:shd w:val="clear" w:color="auto" w:fill="auto"/>
            <w:vAlign w:val="center"/>
          </w:tcPr>
          <w:p w:rsidR="00C82A8C" w:rsidRPr="00A03C35" w:rsidRDefault="00C82A8C" w:rsidP="00A77A90">
            <w:pPr>
              <w:rPr>
                <w:rFonts w:cstheme="minorHAnsi"/>
                <w:color w:val="000000"/>
                <w:sz w:val="20"/>
                <w:szCs w:val="20"/>
              </w:rPr>
            </w:pPr>
            <w:r w:rsidRPr="00A03C35">
              <w:rPr>
                <w:rFonts w:cstheme="minorHAnsi"/>
                <w:color w:val="000000"/>
                <w:sz w:val="20"/>
                <w:szCs w:val="20"/>
              </w:rPr>
              <w:t>Adelaide</w:t>
            </w:r>
          </w:p>
        </w:tc>
        <w:tc>
          <w:tcPr>
            <w:tcW w:w="688" w:type="dxa"/>
            <w:tcBorders>
              <w:top w:val="nil"/>
              <w:left w:val="single" w:sz="4" w:space="0" w:color="auto"/>
              <w:bottom w:val="single" w:sz="4" w:space="0" w:color="auto"/>
              <w:right w:val="single" w:sz="4" w:space="0" w:color="auto"/>
            </w:tcBorders>
            <w:shd w:val="clear" w:color="auto" w:fill="auto"/>
            <w:vAlign w:val="center"/>
          </w:tcPr>
          <w:p w:rsidR="00C82A8C" w:rsidRPr="00A03C35" w:rsidRDefault="00C82A8C" w:rsidP="00A77A90">
            <w:pPr>
              <w:rPr>
                <w:rFonts w:cstheme="minorHAnsi"/>
                <w:color w:val="000000"/>
                <w:sz w:val="20"/>
                <w:szCs w:val="20"/>
              </w:rPr>
            </w:pPr>
            <w:r w:rsidRPr="00A03C35">
              <w:rPr>
                <w:rFonts w:cstheme="minorHAnsi"/>
                <w:color w:val="000000"/>
                <w:sz w:val="20"/>
                <w:szCs w:val="20"/>
              </w:rPr>
              <w:t>2015</w:t>
            </w:r>
          </w:p>
        </w:tc>
        <w:tc>
          <w:tcPr>
            <w:tcW w:w="953" w:type="dxa"/>
            <w:tcBorders>
              <w:top w:val="nil"/>
              <w:left w:val="single" w:sz="4" w:space="0" w:color="auto"/>
              <w:bottom w:val="single" w:sz="4" w:space="0" w:color="auto"/>
              <w:right w:val="single" w:sz="4" w:space="0" w:color="auto"/>
            </w:tcBorders>
            <w:shd w:val="clear" w:color="auto" w:fill="auto"/>
            <w:vAlign w:val="center"/>
          </w:tcPr>
          <w:p w:rsidR="00C82A8C" w:rsidRPr="00A03C35" w:rsidRDefault="00C82A8C" w:rsidP="00A77A90">
            <w:pPr>
              <w:rPr>
                <w:rFonts w:cstheme="minorHAnsi"/>
                <w:color w:val="000000"/>
                <w:sz w:val="20"/>
                <w:szCs w:val="20"/>
              </w:rPr>
            </w:pPr>
            <w:r w:rsidRPr="00A03C35">
              <w:rPr>
                <w:rFonts w:cstheme="minorHAnsi"/>
                <w:color w:val="000000"/>
                <w:sz w:val="20"/>
                <w:szCs w:val="20"/>
              </w:rPr>
              <w:t>2 days</w:t>
            </w:r>
          </w:p>
        </w:tc>
        <w:tc>
          <w:tcPr>
            <w:tcW w:w="1238" w:type="dxa"/>
            <w:tcBorders>
              <w:top w:val="nil"/>
              <w:left w:val="single" w:sz="4" w:space="0" w:color="auto"/>
              <w:bottom w:val="single" w:sz="4" w:space="0" w:color="auto"/>
              <w:right w:val="single" w:sz="4" w:space="0" w:color="auto"/>
            </w:tcBorders>
            <w:shd w:val="clear" w:color="auto" w:fill="auto"/>
            <w:vAlign w:val="center"/>
          </w:tcPr>
          <w:p w:rsidR="00C82A8C" w:rsidRPr="00A03C35" w:rsidRDefault="00C82A8C" w:rsidP="00A77A90">
            <w:pPr>
              <w:rPr>
                <w:rFonts w:cstheme="minorHAnsi"/>
                <w:color w:val="000000"/>
                <w:sz w:val="20"/>
                <w:szCs w:val="20"/>
              </w:rPr>
            </w:pPr>
            <w:r w:rsidRPr="00A03C35">
              <w:rPr>
                <w:rFonts w:cstheme="minorHAnsi"/>
                <w:color w:val="000000"/>
                <w:sz w:val="20"/>
                <w:szCs w:val="20"/>
              </w:rPr>
              <w:t>20</w:t>
            </w:r>
          </w:p>
        </w:tc>
        <w:tc>
          <w:tcPr>
            <w:tcW w:w="1701" w:type="dxa"/>
            <w:vAlign w:val="center"/>
          </w:tcPr>
          <w:p w:rsidR="00C82A8C" w:rsidRPr="00A03C35" w:rsidRDefault="00C82A8C" w:rsidP="00A77A90">
            <w:pPr>
              <w:rPr>
                <w:rFonts w:cstheme="minorHAnsi"/>
                <w:color w:val="000000"/>
                <w:sz w:val="20"/>
                <w:szCs w:val="20"/>
              </w:rPr>
            </w:pPr>
            <w:r w:rsidRPr="00A03C35">
              <w:rPr>
                <w:rFonts w:cstheme="minorHAnsi"/>
                <w:color w:val="000000"/>
                <w:sz w:val="20"/>
                <w:szCs w:val="20"/>
              </w:rPr>
              <w:t>Stratification / Independent recruitment</w:t>
            </w:r>
          </w:p>
        </w:tc>
      </w:tr>
      <w:tr w:rsidR="00C82A8C" w:rsidTr="00A77A90">
        <w:tc>
          <w:tcPr>
            <w:tcW w:w="509" w:type="dxa"/>
            <w:vAlign w:val="center"/>
          </w:tcPr>
          <w:p w:rsidR="00C82A8C" w:rsidRPr="00C4576A" w:rsidRDefault="00C82A8C" w:rsidP="00A77A90">
            <w:pPr>
              <w:rPr>
                <w:rFonts w:cstheme="minorHAnsi"/>
                <w:b/>
                <w:i/>
                <w:color w:val="0B5484" w:themeColor="accent1" w:themeShade="80"/>
                <w:sz w:val="20"/>
                <w:szCs w:val="20"/>
              </w:rPr>
            </w:pPr>
            <w:r w:rsidRPr="00C4576A">
              <w:rPr>
                <w:rFonts w:cstheme="minorHAnsi"/>
                <w:b/>
                <w:i/>
                <w:color w:val="0B5484" w:themeColor="accent1" w:themeShade="80"/>
                <w:sz w:val="20"/>
                <w:szCs w:val="20"/>
              </w:rPr>
              <w:t>14</w:t>
            </w:r>
          </w:p>
        </w:tc>
        <w:tc>
          <w:tcPr>
            <w:tcW w:w="3018" w:type="dxa"/>
            <w:tcBorders>
              <w:top w:val="nil"/>
              <w:left w:val="single" w:sz="4" w:space="0" w:color="auto"/>
              <w:bottom w:val="single" w:sz="4" w:space="0" w:color="auto"/>
              <w:right w:val="single" w:sz="4" w:space="0" w:color="auto"/>
            </w:tcBorders>
            <w:shd w:val="clear" w:color="000000" w:fill="FFFFFF"/>
            <w:vAlign w:val="center"/>
          </w:tcPr>
          <w:p w:rsidR="00C82A8C" w:rsidRPr="00A03C35" w:rsidRDefault="00C82A8C" w:rsidP="00A77A90">
            <w:pPr>
              <w:rPr>
                <w:rFonts w:cstheme="minorHAnsi"/>
                <w:color w:val="000000"/>
                <w:sz w:val="20"/>
                <w:szCs w:val="20"/>
              </w:rPr>
            </w:pPr>
            <w:r w:rsidRPr="00A03C35">
              <w:rPr>
                <w:rFonts w:cstheme="minorHAnsi"/>
                <w:color w:val="000000"/>
                <w:sz w:val="20"/>
                <w:szCs w:val="20"/>
              </w:rPr>
              <w:t xml:space="preserve">VicHealth on Obesity </w:t>
            </w:r>
          </w:p>
        </w:tc>
        <w:tc>
          <w:tcPr>
            <w:tcW w:w="946" w:type="dxa"/>
            <w:tcBorders>
              <w:top w:val="nil"/>
              <w:left w:val="single" w:sz="4" w:space="0" w:color="auto"/>
              <w:bottom w:val="single" w:sz="4" w:space="0" w:color="auto"/>
              <w:right w:val="single" w:sz="4" w:space="0" w:color="auto"/>
            </w:tcBorders>
            <w:shd w:val="clear" w:color="000000" w:fill="FFFFFF"/>
            <w:vAlign w:val="center"/>
          </w:tcPr>
          <w:p w:rsidR="00C82A8C" w:rsidRPr="00A03C35" w:rsidRDefault="00C82A8C" w:rsidP="00A77A90">
            <w:pPr>
              <w:rPr>
                <w:rFonts w:cstheme="minorHAnsi"/>
                <w:color w:val="262626"/>
                <w:sz w:val="20"/>
                <w:szCs w:val="20"/>
              </w:rPr>
            </w:pPr>
            <w:r w:rsidRPr="00A03C35">
              <w:rPr>
                <w:rFonts w:cstheme="minorHAnsi"/>
                <w:color w:val="262626"/>
                <w:sz w:val="20"/>
                <w:szCs w:val="20"/>
              </w:rPr>
              <w:t>Citizens' Jury</w:t>
            </w:r>
          </w:p>
        </w:tc>
        <w:tc>
          <w:tcPr>
            <w:tcW w:w="2146" w:type="dxa"/>
            <w:tcBorders>
              <w:top w:val="nil"/>
              <w:left w:val="single" w:sz="4" w:space="0" w:color="auto"/>
              <w:bottom w:val="single" w:sz="4" w:space="0" w:color="auto"/>
              <w:right w:val="single" w:sz="4" w:space="0" w:color="auto"/>
            </w:tcBorders>
            <w:shd w:val="clear" w:color="000000" w:fill="FFFFFF"/>
            <w:vAlign w:val="center"/>
          </w:tcPr>
          <w:p w:rsidR="00C82A8C" w:rsidRPr="00A03C35" w:rsidRDefault="00C82A8C" w:rsidP="00A77A90">
            <w:pPr>
              <w:rPr>
                <w:rFonts w:cstheme="minorHAnsi"/>
                <w:color w:val="000000"/>
                <w:sz w:val="20"/>
                <w:szCs w:val="20"/>
              </w:rPr>
            </w:pPr>
            <w:r w:rsidRPr="00A03C35">
              <w:rPr>
                <w:rFonts w:cstheme="minorHAnsi"/>
                <w:color w:val="000000"/>
                <w:sz w:val="20"/>
                <w:szCs w:val="20"/>
              </w:rPr>
              <w:t>Victoria</w:t>
            </w:r>
          </w:p>
        </w:tc>
        <w:tc>
          <w:tcPr>
            <w:tcW w:w="688" w:type="dxa"/>
            <w:tcBorders>
              <w:top w:val="nil"/>
              <w:left w:val="single" w:sz="4" w:space="0" w:color="auto"/>
              <w:bottom w:val="single" w:sz="4" w:space="0" w:color="auto"/>
              <w:right w:val="single" w:sz="4" w:space="0" w:color="auto"/>
            </w:tcBorders>
            <w:shd w:val="clear" w:color="000000" w:fill="FFFFFF"/>
            <w:vAlign w:val="center"/>
          </w:tcPr>
          <w:p w:rsidR="00C82A8C" w:rsidRPr="00A03C35" w:rsidRDefault="00C82A8C" w:rsidP="00A77A90">
            <w:pPr>
              <w:rPr>
                <w:rFonts w:cstheme="minorHAnsi"/>
                <w:color w:val="000000"/>
                <w:sz w:val="20"/>
                <w:szCs w:val="20"/>
              </w:rPr>
            </w:pPr>
            <w:r w:rsidRPr="00A03C35">
              <w:rPr>
                <w:rFonts w:cstheme="minorHAnsi"/>
                <w:color w:val="000000"/>
                <w:sz w:val="20"/>
                <w:szCs w:val="20"/>
              </w:rPr>
              <w:t>2015</w:t>
            </w:r>
          </w:p>
        </w:tc>
        <w:tc>
          <w:tcPr>
            <w:tcW w:w="953" w:type="dxa"/>
            <w:tcBorders>
              <w:top w:val="nil"/>
              <w:left w:val="single" w:sz="4" w:space="0" w:color="auto"/>
              <w:bottom w:val="single" w:sz="4" w:space="0" w:color="auto"/>
              <w:right w:val="single" w:sz="4" w:space="0" w:color="auto"/>
            </w:tcBorders>
            <w:shd w:val="clear" w:color="000000" w:fill="FFFFFF"/>
            <w:vAlign w:val="center"/>
          </w:tcPr>
          <w:p w:rsidR="00C82A8C" w:rsidRPr="00A03C35" w:rsidRDefault="00C82A8C" w:rsidP="00A77A90">
            <w:pPr>
              <w:rPr>
                <w:rFonts w:cstheme="minorHAnsi"/>
                <w:color w:val="000000"/>
                <w:sz w:val="20"/>
                <w:szCs w:val="20"/>
              </w:rPr>
            </w:pPr>
            <w:r w:rsidRPr="00A03C35">
              <w:rPr>
                <w:rFonts w:cstheme="minorHAnsi"/>
                <w:color w:val="000000"/>
                <w:sz w:val="20"/>
                <w:szCs w:val="20"/>
              </w:rPr>
              <w:t>2 days</w:t>
            </w:r>
          </w:p>
        </w:tc>
        <w:tc>
          <w:tcPr>
            <w:tcW w:w="1238" w:type="dxa"/>
            <w:tcBorders>
              <w:top w:val="nil"/>
              <w:left w:val="single" w:sz="4" w:space="0" w:color="auto"/>
              <w:bottom w:val="single" w:sz="4" w:space="0" w:color="auto"/>
              <w:right w:val="single" w:sz="4" w:space="0" w:color="auto"/>
            </w:tcBorders>
            <w:shd w:val="clear" w:color="000000" w:fill="FFFFFF"/>
            <w:vAlign w:val="center"/>
          </w:tcPr>
          <w:p w:rsidR="00C82A8C" w:rsidRPr="00A03C35" w:rsidRDefault="00C82A8C" w:rsidP="00A77A90">
            <w:pPr>
              <w:rPr>
                <w:rFonts w:cstheme="minorHAnsi"/>
                <w:color w:val="000000"/>
                <w:sz w:val="20"/>
                <w:szCs w:val="20"/>
              </w:rPr>
            </w:pPr>
            <w:r w:rsidRPr="00A03C35">
              <w:rPr>
                <w:rFonts w:cstheme="minorHAnsi"/>
                <w:color w:val="000000"/>
                <w:sz w:val="20"/>
                <w:szCs w:val="20"/>
              </w:rPr>
              <w:t>100</w:t>
            </w:r>
          </w:p>
        </w:tc>
        <w:tc>
          <w:tcPr>
            <w:tcW w:w="1701" w:type="dxa"/>
            <w:vAlign w:val="center"/>
          </w:tcPr>
          <w:p w:rsidR="00C82A8C" w:rsidRPr="00A03C35" w:rsidRDefault="00C82A8C" w:rsidP="00A77A90">
            <w:pPr>
              <w:rPr>
                <w:rFonts w:cstheme="minorHAnsi"/>
                <w:color w:val="000000"/>
                <w:sz w:val="20"/>
                <w:szCs w:val="20"/>
              </w:rPr>
            </w:pPr>
            <w:r w:rsidRPr="00A03C35">
              <w:rPr>
                <w:rFonts w:cstheme="minorHAnsi"/>
                <w:color w:val="000000"/>
                <w:sz w:val="20"/>
                <w:szCs w:val="20"/>
              </w:rPr>
              <w:t>Random selection</w:t>
            </w:r>
          </w:p>
        </w:tc>
      </w:tr>
      <w:tr w:rsidR="00C82A8C" w:rsidTr="00A77A90">
        <w:tc>
          <w:tcPr>
            <w:tcW w:w="509" w:type="dxa"/>
            <w:vAlign w:val="center"/>
          </w:tcPr>
          <w:p w:rsidR="00C82A8C" w:rsidRPr="00C4576A" w:rsidRDefault="00C82A8C" w:rsidP="00A77A90">
            <w:pPr>
              <w:rPr>
                <w:rFonts w:cstheme="minorHAnsi"/>
                <w:b/>
                <w:i/>
                <w:color w:val="0B5484" w:themeColor="accent1" w:themeShade="80"/>
                <w:sz w:val="20"/>
                <w:szCs w:val="20"/>
              </w:rPr>
            </w:pPr>
            <w:r w:rsidRPr="00C4576A">
              <w:rPr>
                <w:rFonts w:cstheme="minorHAnsi"/>
                <w:b/>
                <w:i/>
                <w:color w:val="0B5484" w:themeColor="accent1" w:themeShade="80"/>
                <w:sz w:val="20"/>
                <w:szCs w:val="20"/>
              </w:rPr>
              <w:t>15</w:t>
            </w:r>
          </w:p>
        </w:tc>
        <w:tc>
          <w:tcPr>
            <w:tcW w:w="3018" w:type="dxa"/>
            <w:tcBorders>
              <w:top w:val="nil"/>
              <w:left w:val="single" w:sz="4" w:space="0" w:color="auto"/>
              <w:bottom w:val="single" w:sz="4" w:space="0" w:color="auto"/>
              <w:right w:val="single" w:sz="4" w:space="0" w:color="auto"/>
            </w:tcBorders>
            <w:shd w:val="clear" w:color="auto" w:fill="auto"/>
            <w:vAlign w:val="center"/>
          </w:tcPr>
          <w:p w:rsidR="00C82A8C" w:rsidRPr="00A03C35" w:rsidRDefault="00C82A8C" w:rsidP="00A77A90">
            <w:pPr>
              <w:rPr>
                <w:rFonts w:cstheme="minorHAnsi"/>
                <w:color w:val="000000"/>
                <w:sz w:val="20"/>
                <w:szCs w:val="20"/>
              </w:rPr>
            </w:pPr>
            <w:r w:rsidRPr="00A03C35">
              <w:rPr>
                <w:rFonts w:cstheme="minorHAnsi"/>
                <w:color w:val="000000"/>
                <w:sz w:val="20"/>
                <w:szCs w:val="20"/>
              </w:rPr>
              <w:t>Prison and Prison Alternatives</w:t>
            </w:r>
          </w:p>
        </w:tc>
        <w:tc>
          <w:tcPr>
            <w:tcW w:w="946" w:type="dxa"/>
            <w:tcBorders>
              <w:top w:val="nil"/>
              <w:left w:val="single" w:sz="4" w:space="0" w:color="auto"/>
              <w:bottom w:val="single" w:sz="4" w:space="0" w:color="auto"/>
              <w:right w:val="single" w:sz="4" w:space="0" w:color="auto"/>
            </w:tcBorders>
            <w:shd w:val="clear" w:color="000000" w:fill="FFFFFF"/>
            <w:vAlign w:val="center"/>
          </w:tcPr>
          <w:p w:rsidR="00C82A8C" w:rsidRPr="00A03C35" w:rsidRDefault="00C82A8C" w:rsidP="00A77A90">
            <w:pPr>
              <w:rPr>
                <w:rFonts w:cstheme="minorHAnsi"/>
                <w:color w:val="262626"/>
                <w:sz w:val="20"/>
                <w:szCs w:val="20"/>
              </w:rPr>
            </w:pPr>
            <w:r w:rsidRPr="00A03C35">
              <w:rPr>
                <w:rFonts w:cstheme="minorHAnsi"/>
                <w:color w:val="262626"/>
                <w:sz w:val="20"/>
                <w:szCs w:val="20"/>
              </w:rPr>
              <w:t>Citizens' Jury</w:t>
            </w:r>
          </w:p>
        </w:tc>
        <w:tc>
          <w:tcPr>
            <w:tcW w:w="2146" w:type="dxa"/>
            <w:tcBorders>
              <w:top w:val="nil"/>
              <w:left w:val="single" w:sz="4" w:space="0" w:color="auto"/>
              <w:bottom w:val="single" w:sz="4" w:space="0" w:color="auto"/>
              <w:right w:val="single" w:sz="4" w:space="0" w:color="auto"/>
            </w:tcBorders>
            <w:shd w:val="clear" w:color="auto" w:fill="auto"/>
            <w:vAlign w:val="center"/>
          </w:tcPr>
          <w:p w:rsidR="00C82A8C" w:rsidRPr="00A03C35" w:rsidRDefault="00C82A8C" w:rsidP="00A77A90">
            <w:pPr>
              <w:rPr>
                <w:rFonts w:cstheme="minorHAnsi"/>
                <w:color w:val="000000"/>
                <w:sz w:val="20"/>
                <w:szCs w:val="20"/>
              </w:rPr>
            </w:pPr>
            <w:r w:rsidRPr="00A03C35">
              <w:rPr>
                <w:rFonts w:cstheme="minorHAnsi"/>
                <w:color w:val="000000"/>
                <w:sz w:val="20"/>
                <w:szCs w:val="20"/>
              </w:rPr>
              <w:t>Sydney/Canberra/Perth</w:t>
            </w:r>
          </w:p>
        </w:tc>
        <w:tc>
          <w:tcPr>
            <w:tcW w:w="688" w:type="dxa"/>
            <w:tcBorders>
              <w:top w:val="nil"/>
              <w:left w:val="single" w:sz="4" w:space="0" w:color="auto"/>
              <w:bottom w:val="single" w:sz="4" w:space="0" w:color="auto"/>
              <w:right w:val="single" w:sz="4" w:space="0" w:color="auto"/>
            </w:tcBorders>
            <w:shd w:val="clear" w:color="auto" w:fill="auto"/>
            <w:vAlign w:val="center"/>
          </w:tcPr>
          <w:p w:rsidR="00C82A8C" w:rsidRPr="00A03C35" w:rsidRDefault="00C82A8C" w:rsidP="00A77A90">
            <w:pPr>
              <w:rPr>
                <w:rFonts w:cstheme="minorHAnsi"/>
                <w:color w:val="000000"/>
                <w:sz w:val="20"/>
                <w:szCs w:val="20"/>
              </w:rPr>
            </w:pPr>
            <w:r w:rsidRPr="00A03C35">
              <w:rPr>
                <w:rFonts w:cstheme="minorHAnsi"/>
                <w:color w:val="000000"/>
                <w:sz w:val="20"/>
                <w:szCs w:val="20"/>
              </w:rPr>
              <w:t>2012 &amp; 2013</w:t>
            </w:r>
          </w:p>
        </w:tc>
        <w:tc>
          <w:tcPr>
            <w:tcW w:w="953" w:type="dxa"/>
            <w:tcBorders>
              <w:top w:val="nil"/>
              <w:left w:val="single" w:sz="4" w:space="0" w:color="auto"/>
              <w:bottom w:val="single" w:sz="4" w:space="0" w:color="auto"/>
              <w:right w:val="single" w:sz="4" w:space="0" w:color="auto"/>
            </w:tcBorders>
            <w:shd w:val="clear" w:color="auto" w:fill="auto"/>
            <w:vAlign w:val="center"/>
          </w:tcPr>
          <w:p w:rsidR="00C82A8C" w:rsidRPr="00A03C35" w:rsidRDefault="00C82A8C" w:rsidP="00A77A90">
            <w:pPr>
              <w:rPr>
                <w:rFonts w:cstheme="minorHAnsi"/>
                <w:color w:val="000000"/>
                <w:sz w:val="20"/>
                <w:szCs w:val="20"/>
              </w:rPr>
            </w:pPr>
            <w:r w:rsidRPr="00A03C35">
              <w:rPr>
                <w:rFonts w:cstheme="minorHAnsi"/>
                <w:color w:val="000000"/>
                <w:sz w:val="20"/>
                <w:szCs w:val="20"/>
              </w:rPr>
              <w:t>1 day</w:t>
            </w:r>
          </w:p>
        </w:tc>
        <w:tc>
          <w:tcPr>
            <w:tcW w:w="1238" w:type="dxa"/>
            <w:tcBorders>
              <w:top w:val="nil"/>
              <w:left w:val="single" w:sz="4" w:space="0" w:color="auto"/>
              <w:bottom w:val="single" w:sz="4" w:space="0" w:color="auto"/>
              <w:right w:val="single" w:sz="4" w:space="0" w:color="auto"/>
            </w:tcBorders>
            <w:shd w:val="clear" w:color="auto" w:fill="auto"/>
            <w:vAlign w:val="center"/>
          </w:tcPr>
          <w:p w:rsidR="00C82A8C" w:rsidRPr="00A03C35" w:rsidRDefault="00C82A8C" w:rsidP="00A77A90">
            <w:pPr>
              <w:rPr>
                <w:rFonts w:cstheme="minorHAnsi"/>
                <w:color w:val="000000"/>
                <w:sz w:val="20"/>
                <w:szCs w:val="20"/>
              </w:rPr>
            </w:pPr>
            <w:r w:rsidRPr="00A03C35">
              <w:rPr>
                <w:rFonts w:cstheme="minorHAnsi"/>
                <w:color w:val="000000"/>
                <w:sz w:val="20"/>
                <w:szCs w:val="20"/>
              </w:rPr>
              <w:t>43</w:t>
            </w:r>
          </w:p>
        </w:tc>
        <w:tc>
          <w:tcPr>
            <w:tcW w:w="1701" w:type="dxa"/>
            <w:vAlign w:val="center"/>
          </w:tcPr>
          <w:p w:rsidR="00C82A8C" w:rsidRPr="00A03C35" w:rsidRDefault="00C82A8C" w:rsidP="00A77A90">
            <w:pPr>
              <w:rPr>
                <w:rFonts w:cstheme="minorHAnsi"/>
                <w:color w:val="000000"/>
                <w:sz w:val="20"/>
                <w:szCs w:val="20"/>
              </w:rPr>
            </w:pPr>
            <w:r w:rsidRPr="00A03C35">
              <w:rPr>
                <w:rFonts w:cstheme="minorHAnsi"/>
                <w:color w:val="000000"/>
                <w:sz w:val="20"/>
                <w:szCs w:val="20"/>
              </w:rPr>
              <w:t>Stratification</w:t>
            </w:r>
          </w:p>
        </w:tc>
      </w:tr>
    </w:tbl>
    <w:p w:rsidR="00C82A8C" w:rsidRPr="00175860" w:rsidRDefault="00C82A8C" w:rsidP="00C82A8C">
      <w:pPr>
        <w:rPr>
          <w:b/>
          <w:bCs/>
          <w:color w:val="0B5484" w:themeColor="accent1" w:themeShade="80"/>
          <w:sz w:val="24"/>
          <w:szCs w:val="24"/>
        </w:rPr>
      </w:pPr>
    </w:p>
    <w:p w:rsidR="00E927B0" w:rsidRPr="0022023D" w:rsidRDefault="00E927B0" w:rsidP="00E927B0">
      <w:pPr>
        <w:numPr>
          <w:ilvl w:val="0"/>
          <w:numId w:val="8"/>
        </w:numPr>
        <w:jc w:val="both"/>
        <w:rPr>
          <w:b/>
          <w:i/>
          <w:color w:val="0B5484" w:themeColor="accent1" w:themeShade="80"/>
          <w:sz w:val="24"/>
          <w:szCs w:val="24"/>
        </w:rPr>
      </w:pPr>
      <w:r w:rsidRPr="0022023D">
        <w:rPr>
          <w:b/>
          <w:i/>
          <w:color w:val="0B5484" w:themeColor="accent1" w:themeShade="80"/>
          <w:sz w:val="24"/>
          <w:szCs w:val="24"/>
        </w:rPr>
        <w:lastRenderedPageBreak/>
        <w:t xml:space="preserve">Are there any trends across the cases in each country that suggest the organisational features of the mini-public influence citizens’ engagement with evidence? </w:t>
      </w:r>
    </w:p>
    <w:p w:rsidR="00E927B0" w:rsidRPr="00E927B0" w:rsidRDefault="00E927B0" w:rsidP="00E927B0">
      <w:pPr>
        <w:jc w:val="both"/>
        <w:rPr>
          <w:sz w:val="24"/>
          <w:szCs w:val="24"/>
        </w:rPr>
      </w:pPr>
      <w:r w:rsidRPr="00E927B0">
        <w:rPr>
          <w:sz w:val="24"/>
          <w:szCs w:val="24"/>
        </w:rPr>
        <w:t xml:space="preserve">In almost all cases, policy recommendations were delivered; and it was not uncommon for the evidence to have played a role in determining those. For example, the New Zealand case study on the use of personal information for pharmacological research </w:t>
      </w:r>
      <w:r w:rsidR="004D0B5D">
        <w:rPr>
          <w:sz w:val="24"/>
          <w:szCs w:val="24"/>
        </w:rPr>
        <w:t xml:space="preserve">(case no.3) </w:t>
      </w:r>
      <w:r w:rsidRPr="00E927B0">
        <w:rPr>
          <w:sz w:val="24"/>
          <w:szCs w:val="24"/>
        </w:rPr>
        <w:t>saw participants explicitly change their minds on the issue and cited the expert testimony as the instrumental reason for the change (Parkin et al</w:t>
      </w:r>
      <w:r w:rsidR="0022023D">
        <w:rPr>
          <w:sz w:val="24"/>
          <w:szCs w:val="24"/>
        </w:rPr>
        <w:t>.</w:t>
      </w:r>
      <w:r w:rsidRPr="00E927B0">
        <w:rPr>
          <w:sz w:val="24"/>
          <w:szCs w:val="24"/>
        </w:rPr>
        <w:t xml:space="preserve"> 2010: 152). Six jurors reported a change in opinion over the course of the hearing, and this was attributed to being more informed. Changes were also observed in the responses to a question about levels of comfort with researchers accessing medical information without explicit consent. By the end, jurors were comfortable with a small privacy loss for the greater good of research.</w:t>
      </w:r>
    </w:p>
    <w:p w:rsidR="00E927B0" w:rsidRPr="00E927B0" w:rsidRDefault="00E927B0" w:rsidP="00E927B0">
      <w:pPr>
        <w:jc w:val="both"/>
        <w:rPr>
          <w:sz w:val="24"/>
          <w:szCs w:val="24"/>
        </w:rPr>
      </w:pPr>
      <w:r w:rsidRPr="00E927B0">
        <w:rPr>
          <w:sz w:val="24"/>
          <w:szCs w:val="24"/>
        </w:rPr>
        <w:t>Another example was the employment of electronic polls during a citizens’ jury on country of origin labelling on food in Australia</w:t>
      </w:r>
      <w:r w:rsidR="004D0B5D">
        <w:rPr>
          <w:sz w:val="24"/>
          <w:szCs w:val="24"/>
        </w:rPr>
        <w:t xml:space="preserve"> (case no.10)</w:t>
      </w:r>
      <w:r w:rsidRPr="00E927B0">
        <w:rPr>
          <w:sz w:val="24"/>
          <w:szCs w:val="24"/>
        </w:rPr>
        <w:t xml:space="preserve">. </w:t>
      </w:r>
      <w:r>
        <w:rPr>
          <w:sz w:val="24"/>
          <w:szCs w:val="24"/>
        </w:rPr>
        <w:t xml:space="preserve">Most participants </w:t>
      </w:r>
      <w:r w:rsidRPr="00E927B0">
        <w:rPr>
          <w:sz w:val="24"/>
          <w:szCs w:val="24"/>
        </w:rPr>
        <w:t>changed</w:t>
      </w:r>
      <w:r>
        <w:rPr>
          <w:sz w:val="24"/>
          <w:szCs w:val="24"/>
        </w:rPr>
        <w:t xml:space="preserve"> their views</w:t>
      </w:r>
      <w:r w:rsidRPr="00E927B0">
        <w:rPr>
          <w:sz w:val="24"/>
          <w:szCs w:val="24"/>
        </w:rPr>
        <w:t xml:space="preserve"> in the polls directly after evidence provision (</w:t>
      </w:r>
      <w:proofErr w:type="spellStart"/>
      <w:r w:rsidRPr="00E927B0">
        <w:rPr>
          <w:sz w:val="24"/>
          <w:szCs w:val="24"/>
        </w:rPr>
        <w:t>Withall</w:t>
      </w:r>
      <w:proofErr w:type="spellEnd"/>
      <w:r w:rsidRPr="00E927B0">
        <w:rPr>
          <w:sz w:val="24"/>
          <w:szCs w:val="24"/>
        </w:rPr>
        <w:t xml:space="preserve"> et al. 2014: 6)</w:t>
      </w:r>
      <w:r w:rsidR="0022023D">
        <w:rPr>
          <w:sz w:val="24"/>
          <w:szCs w:val="24"/>
        </w:rPr>
        <w:t>. T</w:t>
      </w:r>
      <w:r w:rsidRPr="00E927B0">
        <w:rPr>
          <w:sz w:val="24"/>
          <w:szCs w:val="24"/>
        </w:rPr>
        <w:t xml:space="preserve">his trend continued </w:t>
      </w:r>
      <w:r>
        <w:rPr>
          <w:sz w:val="24"/>
          <w:szCs w:val="24"/>
        </w:rPr>
        <w:t>a</w:t>
      </w:r>
      <w:r w:rsidR="0022023D">
        <w:rPr>
          <w:sz w:val="24"/>
          <w:szCs w:val="24"/>
        </w:rPr>
        <w:t>nd</w:t>
      </w:r>
      <w:r>
        <w:rPr>
          <w:sz w:val="24"/>
          <w:szCs w:val="24"/>
        </w:rPr>
        <w:t xml:space="preserve"> by the end of the process</w:t>
      </w:r>
      <w:r w:rsidRPr="00E927B0">
        <w:rPr>
          <w:sz w:val="24"/>
          <w:szCs w:val="24"/>
        </w:rPr>
        <w:t xml:space="preserve"> half of the jurors disagreed that current food labelling allowed them to make informed food choices.</w:t>
      </w:r>
    </w:p>
    <w:p w:rsidR="00E927B0" w:rsidRPr="0022023D" w:rsidRDefault="00E927B0" w:rsidP="00E927B0">
      <w:pPr>
        <w:numPr>
          <w:ilvl w:val="0"/>
          <w:numId w:val="8"/>
        </w:numPr>
        <w:jc w:val="both"/>
        <w:rPr>
          <w:b/>
          <w:i/>
          <w:color w:val="0B5484" w:themeColor="accent1" w:themeShade="80"/>
          <w:sz w:val="24"/>
          <w:szCs w:val="24"/>
          <w:lang w:val="it-IT"/>
        </w:rPr>
      </w:pPr>
      <w:r w:rsidRPr="0022023D">
        <w:rPr>
          <w:b/>
          <w:i/>
          <w:color w:val="0B5484" w:themeColor="accent1" w:themeShade="80"/>
          <w:sz w:val="24"/>
          <w:szCs w:val="24"/>
          <w:lang w:val="it-IT"/>
        </w:rPr>
        <w:t>Are there any trends across the cases in each country that suggest some types of mini-public have had more frequent and extensive impact on social policy and practice than others?</w:t>
      </w:r>
    </w:p>
    <w:p w:rsidR="00E927B0" w:rsidRPr="00E927B0" w:rsidRDefault="00E927B0" w:rsidP="00E927B0">
      <w:pPr>
        <w:jc w:val="both"/>
        <w:rPr>
          <w:i/>
          <w:sz w:val="24"/>
          <w:szCs w:val="24"/>
          <w:lang w:val="it-IT"/>
        </w:rPr>
      </w:pPr>
      <w:r w:rsidRPr="00E927B0">
        <w:rPr>
          <w:sz w:val="24"/>
          <w:szCs w:val="24"/>
          <w:lang w:val="it-IT"/>
        </w:rPr>
        <w:t xml:space="preserve">This was difficult to answer as </w:t>
      </w:r>
      <w:r>
        <w:rPr>
          <w:sz w:val="24"/>
          <w:szCs w:val="24"/>
          <w:lang w:val="it-IT"/>
        </w:rPr>
        <w:t>all the cases indeitifed were</w:t>
      </w:r>
      <w:r w:rsidRPr="00E927B0">
        <w:rPr>
          <w:sz w:val="24"/>
          <w:szCs w:val="24"/>
          <w:lang w:val="it-IT"/>
        </w:rPr>
        <w:t xml:space="preserve"> citizens’ juries. </w:t>
      </w:r>
    </w:p>
    <w:p w:rsidR="00811F9F" w:rsidRPr="0022023D" w:rsidRDefault="00811F9F" w:rsidP="00811F9F">
      <w:pPr>
        <w:numPr>
          <w:ilvl w:val="0"/>
          <w:numId w:val="8"/>
        </w:numPr>
        <w:jc w:val="both"/>
        <w:rPr>
          <w:b/>
          <w:i/>
          <w:color w:val="0B5484" w:themeColor="accent1" w:themeShade="80"/>
          <w:sz w:val="24"/>
          <w:szCs w:val="24"/>
          <w:lang w:val="it-IT"/>
        </w:rPr>
      </w:pPr>
      <w:r w:rsidRPr="0022023D">
        <w:rPr>
          <w:b/>
          <w:i/>
          <w:color w:val="0B5484" w:themeColor="accent1" w:themeShade="80"/>
          <w:sz w:val="24"/>
          <w:szCs w:val="24"/>
        </w:rPr>
        <w:t xml:space="preserve">Are there any trends across the cases in each country that suggest some </w:t>
      </w:r>
      <w:r w:rsidRPr="0022023D">
        <w:rPr>
          <w:b/>
          <w:i/>
          <w:color w:val="0B5484" w:themeColor="accent1" w:themeShade="80"/>
          <w:sz w:val="24"/>
          <w:szCs w:val="24"/>
          <w:lang w:val="it-IT"/>
        </w:rPr>
        <w:t>types of expert, methods of expert recruitment, and the methods of presentation of evidence influences citizens’ engagement with evidence in mini-publics?</w:t>
      </w:r>
    </w:p>
    <w:p w:rsidR="00811F9F" w:rsidRPr="00E927B0" w:rsidRDefault="00811F9F" w:rsidP="00811F9F">
      <w:pPr>
        <w:jc w:val="both"/>
        <w:rPr>
          <w:sz w:val="24"/>
          <w:szCs w:val="24"/>
        </w:rPr>
      </w:pPr>
      <w:r w:rsidRPr="00E927B0">
        <w:rPr>
          <w:sz w:val="24"/>
          <w:szCs w:val="24"/>
        </w:rPr>
        <w:t>The expert recruitment method is broadly identical in almost all cases: recruited by the organisers of the mini-public via invitation or selection</w:t>
      </w:r>
      <w:r>
        <w:rPr>
          <w:sz w:val="24"/>
          <w:szCs w:val="24"/>
        </w:rPr>
        <w:t>. I</w:t>
      </w:r>
      <w:r w:rsidRPr="00E927B0">
        <w:rPr>
          <w:sz w:val="24"/>
          <w:szCs w:val="24"/>
        </w:rPr>
        <w:t>n one case, witnesses we</w:t>
      </w:r>
      <w:r>
        <w:rPr>
          <w:sz w:val="24"/>
          <w:szCs w:val="24"/>
        </w:rPr>
        <w:t xml:space="preserve">re selected by jurors </w:t>
      </w:r>
      <w:r w:rsidRPr="00E927B0">
        <w:rPr>
          <w:sz w:val="24"/>
          <w:szCs w:val="24"/>
        </w:rPr>
        <w:t>from an original list of experts</w:t>
      </w:r>
      <w:r>
        <w:rPr>
          <w:sz w:val="24"/>
          <w:szCs w:val="24"/>
        </w:rPr>
        <w:t xml:space="preserve"> (case no.14)</w:t>
      </w:r>
      <w:r w:rsidRPr="00E927B0">
        <w:rPr>
          <w:sz w:val="24"/>
          <w:szCs w:val="24"/>
        </w:rPr>
        <w:t xml:space="preserve">. It is difficult to say definitively that the expert recruitment methods themselves had an effect on how citizens engaged with the evidence. The methods of presentation did appear to have influence in some cases. </w:t>
      </w:r>
      <w:r w:rsidRPr="00E927B0">
        <w:rPr>
          <w:sz w:val="24"/>
          <w:szCs w:val="24"/>
          <w:lang w:val="it-IT"/>
        </w:rPr>
        <w:t>For example, the opinions of jurors changed in regards to the use of private data in pharmacological research after expert presentations</w:t>
      </w:r>
      <w:r>
        <w:rPr>
          <w:sz w:val="24"/>
          <w:szCs w:val="24"/>
          <w:lang w:val="it-IT"/>
        </w:rPr>
        <w:t xml:space="preserve"> (case no. 3)</w:t>
      </w:r>
      <w:r w:rsidRPr="00E927B0">
        <w:rPr>
          <w:sz w:val="24"/>
          <w:szCs w:val="24"/>
          <w:lang w:val="it-IT"/>
        </w:rPr>
        <w:t>. The Australian citizens’ jury of exploring whether soft drinks advertisements should be displayed at sporting events</w:t>
      </w:r>
      <w:r>
        <w:rPr>
          <w:sz w:val="24"/>
          <w:szCs w:val="24"/>
          <w:lang w:val="it-IT"/>
        </w:rPr>
        <w:t xml:space="preserve"> (case no. 4)</w:t>
      </w:r>
      <w:r w:rsidRPr="00E927B0">
        <w:rPr>
          <w:sz w:val="24"/>
          <w:szCs w:val="24"/>
          <w:lang w:val="it-IT"/>
        </w:rPr>
        <w:t xml:space="preserve"> saw recorded changes in opinion via electronic polls (Henderson et al. 2013). </w:t>
      </w:r>
      <w:r w:rsidRPr="00E927B0">
        <w:rPr>
          <w:sz w:val="24"/>
          <w:szCs w:val="24"/>
        </w:rPr>
        <w:t>Jurors were polled three times over the course of the jury: at the beginning of the session (Poll 1), following speaker presentations (Poll 2), and finally after the deliberation (Poll 3). Changes in participant views were more evident in relation to the topics specifically covered in presentations. Most jurors at each poll indicated that they thought that food and drink sponsorship and/or advertising at children’s sporting events would have little or no effect on altering children’s diet and eating habits, with the proportion increasing during the jury process (Poll 1: 59%, Poll 2: 77%, Poll 3: 88%) (Henderson et al. 2013)</w:t>
      </w:r>
      <w:r>
        <w:rPr>
          <w:sz w:val="24"/>
          <w:szCs w:val="24"/>
        </w:rPr>
        <w:t xml:space="preserve">. </w:t>
      </w:r>
      <w:r w:rsidRPr="00BE31F8">
        <w:rPr>
          <w:sz w:val="24"/>
          <w:szCs w:val="24"/>
        </w:rPr>
        <w:t>Similarly, in a citizen’ jury on screening for breast cancer in women in their 40s</w:t>
      </w:r>
      <w:r>
        <w:rPr>
          <w:sz w:val="24"/>
          <w:szCs w:val="24"/>
        </w:rPr>
        <w:t xml:space="preserve"> (case no.1),</w:t>
      </w:r>
      <w:r w:rsidRPr="00BE31F8">
        <w:rPr>
          <w:sz w:val="24"/>
          <w:szCs w:val="24"/>
        </w:rPr>
        <w:t xml:space="preserve"> 10 participants out of 11 changed their view after hearing expert advice (</w:t>
      </w:r>
      <w:proofErr w:type="spellStart"/>
      <w:r w:rsidRPr="00BE31F8">
        <w:rPr>
          <w:sz w:val="24"/>
          <w:szCs w:val="24"/>
        </w:rPr>
        <w:t>Rychetnik</w:t>
      </w:r>
      <w:proofErr w:type="spellEnd"/>
      <w:r w:rsidRPr="00BE31F8">
        <w:rPr>
          <w:sz w:val="24"/>
          <w:szCs w:val="24"/>
        </w:rPr>
        <w:t xml:space="preserve"> et al 2012).</w:t>
      </w:r>
      <w:r>
        <w:rPr>
          <w:sz w:val="24"/>
          <w:szCs w:val="24"/>
        </w:rPr>
        <w:t>It seems then that</w:t>
      </w:r>
      <w:r w:rsidRPr="00E927B0">
        <w:rPr>
          <w:sz w:val="24"/>
          <w:szCs w:val="24"/>
          <w:lang w:val="it-IT"/>
        </w:rPr>
        <w:t xml:space="preserve"> </w:t>
      </w:r>
      <w:r>
        <w:rPr>
          <w:sz w:val="24"/>
          <w:szCs w:val="24"/>
          <w:lang w:val="it-IT"/>
        </w:rPr>
        <w:t>t</w:t>
      </w:r>
      <w:r w:rsidRPr="00E927B0">
        <w:rPr>
          <w:sz w:val="24"/>
          <w:szCs w:val="24"/>
        </w:rPr>
        <w:t xml:space="preserve">he format of delivering presentations did result in changes of opinion. </w:t>
      </w:r>
    </w:p>
    <w:p w:rsidR="00811F9F" w:rsidRDefault="00811F9F" w:rsidP="00811F9F">
      <w:pPr>
        <w:jc w:val="both"/>
        <w:rPr>
          <w:b/>
          <w:bCs/>
          <w:color w:val="0B5484" w:themeColor="accent1" w:themeShade="80"/>
          <w:sz w:val="24"/>
          <w:szCs w:val="24"/>
        </w:rPr>
      </w:pPr>
    </w:p>
    <w:p w:rsidR="00DE2792" w:rsidRDefault="00DE2792" w:rsidP="00811F9F">
      <w:pPr>
        <w:jc w:val="both"/>
        <w:rPr>
          <w:b/>
          <w:bCs/>
          <w:color w:val="0B5484" w:themeColor="accent1" w:themeShade="80"/>
          <w:sz w:val="24"/>
          <w:szCs w:val="24"/>
        </w:rPr>
      </w:pPr>
    </w:p>
    <w:p w:rsidR="00F83B39" w:rsidRDefault="00F83B39" w:rsidP="00811F9F">
      <w:pPr>
        <w:jc w:val="both"/>
        <w:rPr>
          <w:b/>
          <w:bCs/>
          <w:color w:val="0B5484" w:themeColor="accent1" w:themeShade="80"/>
          <w:sz w:val="24"/>
          <w:szCs w:val="24"/>
        </w:rPr>
      </w:pPr>
    </w:p>
    <w:p w:rsidR="00DE2792" w:rsidRDefault="00DE2792" w:rsidP="00DE2792">
      <w:pPr>
        <w:jc w:val="both"/>
        <w:rPr>
          <w:b/>
          <w:color w:val="0B5484" w:themeColor="accent1" w:themeShade="80"/>
          <w:sz w:val="24"/>
          <w:szCs w:val="24"/>
        </w:rPr>
      </w:pPr>
      <w:r w:rsidRPr="00C82A8C">
        <w:rPr>
          <w:b/>
          <w:bCs/>
          <w:color w:val="0B5484" w:themeColor="accent1" w:themeShade="80"/>
          <w:sz w:val="24"/>
          <w:szCs w:val="24"/>
        </w:rPr>
        <w:lastRenderedPageBreak/>
        <w:t xml:space="preserve">Table </w:t>
      </w:r>
      <w:r>
        <w:rPr>
          <w:b/>
          <w:bCs/>
          <w:color w:val="0B5484" w:themeColor="accent1" w:themeShade="80"/>
          <w:sz w:val="24"/>
          <w:szCs w:val="24"/>
        </w:rPr>
        <w:t xml:space="preserve">4: </w:t>
      </w:r>
      <w:r>
        <w:rPr>
          <w:b/>
          <w:color w:val="0B5484" w:themeColor="accent1" w:themeShade="80"/>
          <w:sz w:val="24"/>
          <w:szCs w:val="24"/>
        </w:rPr>
        <w:t xml:space="preserve">Australia and New Zealand: </w:t>
      </w:r>
      <w:r>
        <w:rPr>
          <w:b/>
          <w:bCs/>
          <w:color w:val="0B5484" w:themeColor="accent1" w:themeShade="80"/>
          <w:sz w:val="24"/>
          <w:szCs w:val="24"/>
        </w:rPr>
        <w:t>Witnesses and Evidence in</w:t>
      </w:r>
      <w:r w:rsidRPr="00C82A8C">
        <w:rPr>
          <w:b/>
          <w:bCs/>
          <w:color w:val="0B5484" w:themeColor="accent1" w:themeShade="80"/>
          <w:sz w:val="24"/>
          <w:szCs w:val="24"/>
        </w:rPr>
        <w:t xml:space="preserve"> </w:t>
      </w:r>
      <w:r>
        <w:rPr>
          <w:b/>
          <w:color w:val="0B5484" w:themeColor="accent1" w:themeShade="80"/>
          <w:sz w:val="24"/>
          <w:szCs w:val="24"/>
        </w:rPr>
        <w:t xml:space="preserve">Mini-Public </w:t>
      </w:r>
      <w:r w:rsidRPr="00C82A8C">
        <w:rPr>
          <w:b/>
          <w:color w:val="0B5484" w:themeColor="accent1" w:themeShade="80"/>
          <w:sz w:val="24"/>
          <w:szCs w:val="24"/>
        </w:rPr>
        <w:t>Cases</w:t>
      </w:r>
    </w:p>
    <w:tbl>
      <w:tblPr>
        <w:tblStyle w:val="TableGrid"/>
        <w:tblW w:w="10774" w:type="dxa"/>
        <w:tblInd w:w="-998" w:type="dxa"/>
        <w:tblLook w:val="04A0" w:firstRow="1" w:lastRow="0" w:firstColumn="1" w:lastColumn="0" w:noHBand="0" w:noVBand="1"/>
      </w:tblPr>
      <w:tblGrid>
        <w:gridCol w:w="567"/>
        <w:gridCol w:w="3134"/>
        <w:gridCol w:w="1120"/>
        <w:gridCol w:w="1616"/>
        <w:gridCol w:w="1308"/>
        <w:gridCol w:w="1104"/>
        <w:gridCol w:w="1925"/>
      </w:tblGrid>
      <w:tr w:rsidR="00811F9F" w:rsidTr="00A77A90">
        <w:tc>
          <w:tcPr>
            <w:tcW w:w="567" w:type="dxa"/>
          </w:tcPr>
          <w:p w:rsidR="00811F9F" w:rsidRPr="00C4576A" w:rsidRDefault="00811F9F" w:rsidP="00A77A90">
            <w:pPr>
              <w:rPr>
                <w:rFonts w:cstheme="minorHAnsi"/>
                <w:b/>
                <w:i/>
                <w:color w:val="0B5484" w:themeColor="accent1" w:themeShade="80"/>
                <w:sz w:val="20"/>
                <w:szCs w:val="20"/>
              </w:rPr>
            </w:pPr>
            <w:r w:rsidRPr="00C4576A">
              <w:rPr>
                <w:rFonts w:cstheme="minorHAnsi"/>
                <w:b/>
                <w:i/>
                <w:color w:val="0B5484" w:themeColor="accent1" w:themeShade="80"/>
                <w:sz w:val="20"/>
                <w:szCs w:val="20"/>
              </w:rPr>
              <w:t>No.</w:t>
            </w:r>
          </w:p>
        </w:tc>
        <w:tc>
          <w:tcPr>
            <w:tcW w:w="3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11F9F" w:rsidRPr="00C4576A" w:rsidRDefault="00811F9F" w:rsidP="00A77A90">
            <w:pPr>
              <w:rPr>
                <w:rFonts w:cstheme="minorHAnsi"/>
                <w:b/>
                <w:bCs/>
                <w:i/>
                <w:color w:val="0B5484" w:themeColor="accent1" w:themeShade="80"/>
                <w:sz w:val="20"/>
                <w:szCs w:val="20"/>
              </w:rPr>
            </w:pPr>
            <w:r w:rsidRPr="00C4576A">
              <w:rPr>
                <w:rFonts w:cstheme="minorHAnsi"/>
                <w:b/>
                <w:bCs/>
                <w:i/>
                <w:color w:val="0B5484" w:themeColor="accent1" w:themeShade="80"/>
                <w:sz w:val="20"/>
                <w:szCs w:val="20"/>
              </w:rPr>
              <w:t>Activities</w:t>
            </w:r>
          </w:p>
        </w:tc>
        <w:tc>
          <w:tcPr>
            <w:tcW w:w="1120" w:type="dxa"/>
            <w:tcBorders>
              <w:top w:val="single" w:sz="4" w:space="0" w:color="auto"/>
              <w:left w:val="nil"/>
              <w:bottom w:val="single" w:sz="4" w:space="0" w:color="auto"/>
              <w:right w:val="single" w:sz="4" w:space="0" w:color="auto"/>
            </w:tcBorders>
            <w:shd w:val="clear" w:color="auto" w:fill="FFFFFF" w:themeFill="background1"/>
            <w:vAlign w:val="center"/>
          </w:tcPr>
          <w:p w:rsidR="00811F9F" w:rsidRPr="00C4576A" w:rsidRDefault="00811F9F" w:rsidP="00A77A90">
            <w:pPr>
              <w:rPr>
                <w:rFonts w:cstheme="minorHAnsi"/>
                <w:b/>
                <w:bCs/>
                <w:i/>
                <w:color w:val="0B5484" w:themeColor="accent1" w:themeShade="80"/>
                <w:sz w:val="20"/>
                <w:szCs w:val="20"/>
              </w:rPr>
            </w:pPr>
            <w:r w:rsidRPr="00C4576A">
              <w:rPr>
                <w:rFonts w:cstheme="minorHAnsi"/>
                <w:b/>
                <w:bCs/>
                <w:i/>
                <w:color w:val="0B5484" w:themeColor="accent1" w:themeShade="80"/>
                <w:sz w:val="20"/>
                <w:szCs w:val="20"/>
              </w:rPr>
              <w:t xml:space="preserve">No. </w:t>
            </w:r>
          </w:p>
          <w:p w:rsidR="00811F9F" w:rsidRPr="00C4576A" w:rsidRDefault="00811F9F" w:rsidP="00A77A90">
            <w:pPr>
              <w:rPr>
                <w:rFonts w:cstheme="minorHAnsi"/>
                <w:b/>
                <w:bCs/>
                <w:i/>
                <w:color w:val="0B5484" w:themeColor="accent1" w:themeShade="80"/>
                <w:sz w:val="20"/>
                <w:szCs w:val="20"/>
              </w:rPr>
            </w:pPr>
            <w:r w:rsidRPr="00C4576A">
              <w:rPr>
                <w:rFonts w:cstheme="minorHAnsi"/>
                <w:b/>
                <w:bCs/>
                <w:i/>
                <w:color w:val="0B5484" w:themeColor="accent1" w:themeShade="80"/>
                <w:sz w:val="20"/>
                <w:szCs w:val="20"/>
              </w:rPr>
              <w:t>witnesses</w:t>
            </w:r>
          </w:p>
        </w:tc>
        <w:tc>
          <w:tcPr>
            <w:tcW w:w="1616" w:type="dxa"/>
            <w:tcBorders>
              <w:top w:val="single" w:sz="4" w:space="0" w:color="auto"/>
              <w:left w:val="nil"/>
              <w:bottom w:val="single" w:sz="4" w:space="0" w:color="auto"/>
              <w:right w:val="single" w:sz="4" w:space="0" w:color="auto"/>
            </w:tcBorders>
            <w:shd w:val="clear" w:color="auto" w:fill="FFFFFF" w:themeFill="background1"/>
            <w:vAlign w:val="center"/>
          </w:tcPr>
          <w:p w:rsidR="00811F9F" w:rsidRPr="00C4576A" w:rsidRDefault="00811F9F" w:rsidP="00A77A90">
            <w:pPr>
              <w:rPr>
                <w:rFonts w:cstheme="minorHAnsi"/>
                <w:b/>
                <w:bCs/>
                <w:i/>
                <w:color w:val="0B5484" w:themeColor="accent1" w:themeShade="80"/>
                <w:sz w:val="20"/>
                <w:szCs w:val="20"/>
              </w:rPr>
            </w:pPr>
            <w:r w:rsidRPr="00C4576A">
              <w:rPr>
                <w:rFonts w:cstheme="minorHAnsi"/>
                <w:b/>
                <w:bCs/>
                <w:i/>
                <w:color w:val="0B5484" w:themeColor="accent1" w:themeShade="80"/>
                <w:sz w:val="20"/>
                <w:szCs w:val="20"/>
              </w:rPr>
              <w:t>Type of witnesses</w:t>
            </w:r>
          </w:p>
        </w:tc>
        <w:tc>
          <w:tcPr>
            <w:tcW w:w="1308" w:type="dxa"/>
            <w:tcBorders>
              <w:top w:val="single" w:sz="4" w:space="0" w:color="auto"/>
              <w:left w:val="nil"/>
              <w:bottom w:val="single" w:sz="4" w:space="0" w:color="auto"/>
              <w:right w:val="single" w:sz="4" w:space="0" w:color="auto"/>
            </w:tcBorders>
            <w:shd w:val="clear" w:color="auto" w:fill="FFFFFF" w:themeFill="background1"/>
            <w:vAlign w:val="center"/>
          </w:tcPr>
          <w:p w:rsidR="00811F9F" w:rsidRPr="00C4576A" w:rsidRDefault="00811F9F" w:rsidP="00A77A90">
            <w:pPr>
              <w:rPr>
                <w:rFonts w:cstheme="minorHAnsi"/>
                <w:b/>
                <w:bCs/>
                <w:i/>
                <w:color w:val="0B5484" w:themeColor="accent1" w:themeShade="80"/>
                <w:sz w:val="20"/>
                <w:szCs w:val="20"/>
              </w:rPr>
            </w:pPr>
            <w:r w:rsidRPr="00C4576A">
              <w:rPr>
                <w:rFonts w:cstheme="minorHAnsi"/>
                <w:b/>
                <w:bCs/>
                <w:i/>
                <w:color w:val="0B5484" w:themeColor="accent1" w:themeShade="80"/>
                <w:sz w:val="20"/>
                <w:szCs w:val="20"/>
              </w:rPr>
              <w:t>Witness recruitment method</w:t>
            </w:r>
          </w:p>
        </w:tc>
        <w:tc>
          <w:tcPr>
            <w:tcW w:w="1104" w:type="dxa"/>
            <w:tcBorders>
              <w:top w:val="single" w:sz="4" w:space="0" w:color="auto"/>
              <w:left w:val="nil"/>
              <w:bottom w:val="single" w:sz="4" w:space="0" w:color="auto"/>
              <w:right w:val="single" w:sz="4" w:space="0" w:color="auto"/>
            </w:tcBorders>
            <w:shd w:val="clear" w:color="auto" w:fill="FFFFFF" w:themeFill="background1"/>
            <w:vAlign w:val="center"/>
          </w:tcPr>
          <w:p w:rsidR="00811F9F" w:rsidRPr="00C4576A" w:rsidRDefault="00811F9F" w:rsidP="00A77A90">
            <w:pPr>
              <w:rPr>
                <w:rFonts w:cstheme="minorHAnsi"/>
                <w:b/>
                <w:bCs/>
                <w:i/>
                <w:color w:val="0B5484" w:themeColor="accent1" w:themeShade="80"/>
                <w:sz w:val="20"/>
                <w:szCs w:val="20"/>
              </w:rPr>
            </w:pPr>
            <w:r w:rsidRPr="00C4576A">
              <w:rPr>
                <w:rFonts w:cstheme="minorHAnsi"/>
                <w:b/>
                <w:bCs/>
                <w:i/>
                <w:color w:val="0B5484" w:themeColor="accent1" w:themeShade="80"/>
                <w:sz w:val="20"/>
                <w:szCs w:val="20"/>
              </w:rPr>
              <w:t>No. witness sessions</w:t>
            </w:r>
          </w:p>
        </w:tc>
        <w:tc>
          <w:tcPr>
            <w:tcW w:w="1925" w:type="dxa"/>
            <w:tcBorders>
              <w:top w:val="single" w:sz="4" w:space="0" w:color="auto"/>
              <w:left w:val="nil"/>
              <w:bottom w:val="single" w:sz="4" w:space="0" w:color="auto"/>
              <w:right w:val="single" w:sz="4" w:space="0" w:color="auto"/>
            </w:tcBorders>
            <w:shd w:val="clear" w:color="auto" w:fill="FFFFFF" w:themeFill="background1"/>
            <w:vAlign w:val="center"/>
          </w:tcPr>
          <w:p w:rsidR="00811F9F" w:rsidRPr="00C4576A" w:rsidRDefault="00811F9F" w:rsidP="00A77A90">
            <w:pPr>
              <w:rPr>
                <w:rFonts w:cstheme="minorHAnsi"/>
                <w:b/>
                <w:bCs/>
                <w:i/>
                <w:color w:val="0B5484" w:themeColor="accent1" w:themeShade="80"/>
                <w:sz w:val="20"/>
                <w:szCs w:val="20"/>
              </w:rPr>
            </w:pPr>
            <w:r w:rsidRPr="00C4576A">
              <w:rPr>
                <w:rFonts w:cstheme="minorHAnsi"/>
                <w:b/>
                <w:bCs/>
                <w:i/>
                <w:color w:val="0B5484" w:themeColor="accent1" w:themeShade="80"/>
                <w:sz w:val="20"/>
                <w:szCs w:val="20"/>
              </w:rPr>
              <w:t>Format of evidence presentation</w:t>
            </w:r>
          </w:p>
        </w:tc>
      </w:tr>
      <w:tr w:rsidR="00811F9F" w:rsidTr="00F6330E">
        <w:tc>
          <w:tcPr>
            <w:tcW w:w="567" w:type="dxa"/>
            <w:shd w:val="clear" w:color="auto" w:fill="ABD9F8" w:themeFill="accent1" w:themeFillTint="66"/>
            <w:vAlign w:val="center"/>
          </w:tcPr>
          <w:p w:rsidR="00811F9F" w:rsidRPr="00F6330E" w:rsidRDefault="00811F9F" w:rsidP="00A77A90">
            <w:pPr>
              <w:rPr>
                <w:rFonts w:cstheme="minorHAnsi"/>
                <w:b/>
                <w:i/>
                <w:sz w:val="20"/>
                <w:szCs w:val="20"/>
              </w:rPr>
            </w:pPr>
            <w:r w:rsidRPr="00F6330E">
              <w:rPr>
                <w:rFonts w:cstheme="minorHAnsi"/>
                <w:b/>
                <w:i/>
                <w:sz w:val="20"/>
                <w:szCs w:val="20"/>
              </w:rPr>
              <w:t>1</w:t>
            </w:r>
          </w:p>
        </w:tc>
        <w:tc>
          <w:tcPr>
            <w:tcW w:w="3134" w:type="dxa"/>
            <w:tcBorders>
              <w:top w:val="single" w:sz="4" w:space="0" w:color="auto"/>
              <w:left w:val="single" w:sz="4" w:space="0" w:color="auto"/>
              <w:bottom w:val="single" w:sz="4" w:space="0" w:color="auto"/>
              <w:right w:val="single" w:sz="4" w:space="0" w:color="auto"/>
            </w:tcBorders>
            <w:shd w:val="clear" w:color="auto" w:fill="ABD9F8" w:themeFill="accent1" w:themeFillTint="66"/>
            <w:vAlign w:val="center"/>
          </w:tcPr>
          <w:p w:rsidR="00811F9F" w:rsidRPr="00B02A32" w:rsidRDefault="00811F9F" w:rsidP="00A77A90">
            <w:pPr>
              <w:rPr>
                <w:rFonts w:cstheme="minorHAnsi"/>
                <w:color w:val="000000"/>
                <w:sz w:val="20"/>
                <w:szCs w:val="20"/>
              </w:rPr>
            </w:pPr>
            <w:r w:rsidRPr="00B02A32">
              <w:rPr>
                <w:rFonts w:cstheme="minorHAnsi"/>
                <w:color w:val="000000"/>
                <w:sz w:val="20"/>
                <w:szCs w:val="20"/>
              </w:rPr>
              <w:t>Introduction, presentations, deliberation</w:t>
            </w:r>
          </w:p>
        </w:tc>
        <w:tc>
          <w:tcPr>
            <w:tcW w:w="1120" w:type="dxa"/>
            <w:tcBorders>
              <w:top w:val="single" w:sz="4" w:space="0" w:color="auto"/>
              <w:left w:val="single" w:sz="4" w:space="0" w:color="auto"/>
              <w:bottom w:val="single" w:sz="4" w:space="0" w:color="auto"/>
              <w:right w:val="single" w:sz="4" w:space="0" w:color="auto"/>
            </w:tcBorders>
            <w:shd w:val="clear" w:color="auto" w:fill="ABD9F8" w:themeFill="accent1" w:themeFillTint="66"/>
            <w:vAlign w:val="center"/>
          </w:tcPr>
          <w:p w:rsidR="00811F9F" w:rsidRPr="00B02A32" w:rsidRDefault="00811F9F" w:rsidP="00A77A90">
            <w:pPr>
              <w:jc w:val="right"/>
              <w:rPr>
                <w:rFonts w:cstheme="minorHAnsi"/>
                <w:color w:val="000000"/>
                <w:sz w:val="20"/>
                <w:szCs w:val="20"/>
              </w:rPr>
            </w:pPr>
            <w:r w:rsidRPr="00B02A32">
              <w:rPr>
                <w:rFonts w:cstheme="minorHAnsi"/>
                <w:color w:val="000000"/>
                <w:sz w:val="20"/>
                <w:szCs w:val="20"/>
              </w:rPr>
              <w:t>3+</w:t>
            </w:r>
          </w:p>
        </w:tc>
        <w:tc>
          <w:tcPr>
            <w:tcW w:w="1616" w:type="dxa"/>
            <w:tcBorders>
              <w:top w:val="single" w:sz="4" w:space="0" w:color="auto"/>
              <w:left w:val="single" w:sz="4" w:space="0" w:color="auto"/>
              <w:bottom w:val="single" w:sz="4" w:space="0" w:color="auto"/>
              <w:right w:val="single" w:sz="4" w:space="0" w:color="auto"/>
            </w:tcBorders>
            <w:shd w:val="clear" w:color="auto" w:fill="ABD9F8" w:themeFill="accent1" w:themeFillTint="66"/>
            <w:vAlign w:val="center"/>
          </w:tcPr>
          <w:p w:rsidR="00811F9F" w:rsidRPr="00B02A32" w:rsidRDefault="00811F9F" w:rsidP="00A77A90">
            <w:pPr>
              <w:rPr>
                <w:rFonts w:cstheme="minorHAnsi"/>
                <w:color w:val="000000"/>
                <w:sz w:val="20"/>
                <w:szCs w:val="20"/>
              </w:rPr>
            </w:pPr>
            <w:r w:rsidRPr="00B02A32">
              <w:rPr>
                <w:rFonts w:cstheme="minorHAnsi"/>
                <w:color w:val="000000"/>
                <w:sz w:val="20"/>
                <w:szCs w:val="20"/>
              </w:rPr>
              <w:t>Facilitators and knowledge experts</w:t>
            </w:r>
          </w:p>
        </w:tc>
        <w:tc>
          <w:tcPr>
            <w:tcW w:w="1308" w:type="dxa"/>
            <w:tcBorders>
              <w:top w:val="single" w:sz="4" w:space="0" w:color="auto"/>
              <w:left w:val="single" w:sz="4" w:space="0" w:color="auto"/>
              <w:bottom w:val="single" w:sz="4" w:space="0" w:color="auto"/>
              <w:right w:val="single" w:sz="4" w:space="0" w:color="auto"/>
            </w:tcBorders>
            <w:shd w:val="clear" w:color="auto" w:fill="ABD9F8" w:themeFill="accent1" w:themeFillTint="66"/>
            <w:vAlign w:val="center"/>
          </w:tcPr>
          <w:p w:rsidR="00811F9F" w:rsidRPr="00B02A32" w:rsidRDefault="00811F9F" w:rsidP="00A77A90">
            <w:pPr>
              <w:rPr>
                <w:rFonts w:cstheme="minorHAnsi"/>
                <w:color w:val="000000"/>
                <w:sz w:val="20"/>
                <w:szCs w:val="20"/>
              </w:rPr>
            </w:pPr>
            <w:r w:rsidRPr="00B02A32">
              <w:rPr>
                <w:rFonts w:cstheme="minorHAnsi"/>
                <w:color w:val="000000"/>
                <w:sz w:val="20"/>
                <w:szCs w:val="20"/>
              </w:rPr>
              <w:t>Mini-public organisers</w:t>
            </w:r>
          </w:p>
        </w:tc>
        <w:tc>
          <w:tcPr>
            <w:tcW w:w="1104" w:type="dxa"/>
            <w:tcBorders>
              <w:top w:val="single" w:sz="4" w:space="0" w:color="auto"/>
              <w:left w:val="single" w:sz="4" w:space="0" w:color="auto"/>
              <w:bottom w:val="single" w:sz="4" w:space="0" w:color="auto"/>
              <w:right w:val="single" w:sz="4" w:space="0" w:color="auto"/>
            </w:tcBorders>
            <w:shd w:val="clear" w:color="auto" w:fill="ABD9F8" w:themeFill="accent1" w:themeFillTint="66"/>
            <w:vAlign w:val="center"/>
          </w:tcPr>
          <w:p w:rsidR="00811F9F" w:rsidRPr="00B02A32" w:rsidRDefault="00811F9F" w:rsidP="00A77A90">
            <w:pPr>
              <w:jc w:val="right"/>
              <w:rPr>
                <w:rFonts w:cstheme="minorHAnsi"/>
                <w:color w:val="000000"/>
                <w:sz w:val="20"/>
                <w:szCs w:val="20"/>
              </w:rPr>
            </w:pPr>
            <w:r w:rsidRPr="00B02A32">
              <w:rPr>
                <w:rFonts w:cstheme="minorHAnsi"/>
                <w:color w:val="000000"/>
                <w:sz w:val="20"/>
                <w:szCs w:val="20"/>
              </w:rPr>
              <w:t>1</w:t>
            </w:r>
          </w:p>
        </w:tc>
        <w:tc>
          <w:tcPr>
            <w:tcW w:w="1925" w:type="dxa"/>
            <w:tcBorders>
              <w:top w:val="single" w:sz="4" w:space="0" w:color="auto"/>
              <w:left w:val="single" w:sz="4" w:space="0" w:color="auto"/>
              <w:bottom w:val="single" w:sz="4" w:space="0" w:color="auto"/>
              <w:right w:val="single" w:sz="4" w:space="0" w:color="auto"/>
            </w:tcBorders>
            <w:shd w:val="clear" w:color="auto" w:fill="ABD9F8" w:themeFill="accent1" w:themeFillTint="66"/>
            <w:vAlign w:val="center"/>
          </w:tcPr>
          <w:p w:rsidR="00811F9F" w:rsidRPr="00B02A32" w:rsidRDefault="00811F9F" w:rsidP="00A77A90">
            <w:pPr>
              <w:rPr>
                <w:rFonts w:cstheme="minorHAnsi"/>
                <w:color w:val="000000"/>
                <w:sz w:val="20"/>
                <w:szCs w:val="20"/>
              </w:rPr>
            </w:pPr>
            <w:r w:rsidRPr="00B02A32">
              <w:rPr>
                <w:rFonts w:cstheme="minorHAnsi"/>
                <w:color w:val="000000"/>
                <w:sz w:val="20"/>
                <w:szCs w:val="20"/>
              </w:rPr>
              <w:t>Expert presentations from expert on each side, then one neutral</w:t>
            </w:r>
          </w:p>
        </w:tc>
      </w:tr>
      <w:tr w:rsidR="00811F9F" w:rsidTr="00A77A90">
        <w:tc>
          <w:tcPr>
            <w:tcW w:w="567" w:type="dxa"/>
            <w:vAlign w:val="center"/>
          </w:tcPr>
          <w:p w:rsidR="00811F9F" w:rsidRPr="00F6330E" w:rsidRDefault="00811F9F" w:rsidP="00A77A90">
            <w:pPr>
              <w:rPr>
                <w:rFonts w:cstheme="minorHAnsi"/>
                <w:b/>
                <w:i/>
                <w:sz w:val="20"/>
                <w:szCs w:val="20"/>
              </w:rPr>
            </w:pPr>
            <w:r w:rsidRPr="00F6330E">
              <w:rPr>
                <w:rFonts w:cstheme="minorHAnsi"/>
                <w:b/>
                <w:i/>
                <w:sz w:val="20"/>
                <w:szCs w:val="20"/>
              </w:rPr>
              <w:t>2</w:t>
            </w:r>
          </w:p>
        </w:tc>
        <w:tc>
          <w:tcPr>
            <w:tcW w:w="3134" w:type="dxa"/>
            <w:tcBorders>
              <w:top w:val="nil"/>
              <w:left w:val="single" w:sz="4" w:space="0" w:color="auto"/>
              <w:bottom w:val="single" w:sz="4" w:space="0" w:color="auto"/>
              <w:right w:val="single" w:sz="4" w:space="0" w:color="auto"/>
            </w:tcBorders>
            <w:shd w:val="clear" w:color="auto" w:fill="auto"/>
            <w:vAlign w:val="center"/>
          </w:tcPr>
          <w:p w:rsidR="00811F9F" w:rsidRPr="00B02A32" w:rsidRDefault="00811F9F" w:rsidP="00A77A90">
            <w:pPr>
              <w:rPr>
                <w:rFonts w:cstheme="minorHAnsi"/>
                <w:color w:val="000000"/>
                <w:sz w:val="20"/>
                <w:szCs w:val="20"/>
              </w:rPr>
            </w:pPr>
            <w:r w:rsidRPr="00B02A32">
              <w:rPr>
                <w:rFonts w:cstheme="minorHAnsi"/>
                <w:color w:val="000000"/>
                <w:sz w:val="20"/>
                <w:szCs w:val="20"/>
              </w:rPr>
              <w:t>Preparatory briefing, deliberation</w:t>
            </w:r>
          </w:p>
        </w:tc>
        <w:tc>
          <w:tcPr>
            <w:tcW w:w="1120" w:type="dxa"/>
            <w:tcBorders>
              <w:top w:val="nil"/>
              <w:left w:val="single" w:sz="4" w:space="0" w:color="auto"/>
              <w:bottom w:val="single" w:sz="4" w:space="0" w:color="auto"/>
              <w:right w:val="single" w:sz="4" w:space="0" w:color="auto"/>
            </w:tcBorders>
            <w:shd w:val="clear" w:color="auto" w:fill="auto"/>
            <w:vAlign w:val="center"/>
          </w:tcPr>
          <w:p w:rsidR="00811F9F" w:rsidRPr="00B02A32" w:rsidRDefault="00811F9F" w:rsidP="00A77A90">
            <w:pPr>
              <w:jc w:val="right"/>
              <w:rPr>
                <w:rFonts w:cstheme="minorHAnsi"/>
                <w:color w:val="000000"/>
                <w:sz w:val="20"/>
                <w:szCs w:val="20"/>
              </w:rPr>
            </w:pPr>
            <w:r w:rsidRPr="00B02A32">
              <w:rPr>
                <w:rFonts w:cstheme="minorHAnsi"/>
                <w:color w:val="000000"/>
                <w:sz w:val="20"/>
                <w:szCs w:val="20"/>
              </w:rPr>
              <w:t>2+</w:t>
            </w:r>
          </w:p>
        </w:tc>
        <w:tc>
          <w:tcPr>
            <w:tcW w:w="1616" w:type="dxa"/>
            <w:tcBorders>
              <w:top w:val="nil"/>
              <w:left w:val="single" w:sz="4" w:space="0" w:color="auto"/>
              <w:bottom w:val="single" w:sz="4" w:space="0" w:color="auto"/>
              <w:right w:val="single" w:sz="4" w:space="0" w:color="auto"/>
            </w:tcBorders>
            <w:shd w:val="clear" w:color="auto" w:fill="auto"/>
            <w:vAlign w:val="center"/>
          </w:tcPr>
          <w:p w:rsidR="00811F9F" w:rsidRPr="00B02A32" w:rsidRDefault="00811F9F" w:rsidP="00A77A90">
            <w:pPr>
              <w:rPr>
                <w:rFonts w:cstheme="minorHAnsi"/>
                <w:color w:val="000000"/>
                <w:sz w:val="20"/>
                <w:szCs w:val="20"/>
              </w:rPr>
            </w:pPr>
            <w:r w:rsidRPr="00B02A32">
              <w:rPr>
                <w:rFonts w:cstheme="minorHAnsi"/>
                <w:color w:val="000000"/>
                <w:sz w:val="20"/>
                <w:szCs w:val="20"/>
              </w:rPr>
              <w:t>Facilitators and knowledge experts</w:t>
            </w:r>
          </w:p>
        </w:tc>
        <w:tc>
          <w:tcPr>
            <w:tcW w:w="1308" w:type="dxa"/>
            <w:tcBorders>
              <w:top w:val="nil"/>
              <w:left w:val="single" w:sz="4" w:space="0" w:color="auto"/>
              <w:bottom w:val="single" w:sz="4" w:space="0" w:color="auto"/>
              <w:right w:val="single" w:sz="4" w:space="0" w:color="auto"/>
            </w:tcBorders>
            <w:shd w:val="clear" w:color="auto" w:fill="auto"/>
            <w:vAlign w:val="center"/>
          </w:tcPr>
          <w:p w:rsidR="00811F9F" w:rsidRPr="00B02A32" w:rsidRDefault="00811F9F" w:rsidP="00A77A90">
            <w:pPr>
              <w:rPr>
                <w:rFonts w:cstheme="minorHAnsi"/>
                <w:color w:val="000000"/>
                <w:sz w:val="20"/>
                <w:szCs w:val="20"/>
              </w:rPr>
            </w:pPr>
            <w:r w:rsidRPr="00B02A32">
              <w:rPr>
                <w:rFonts w:cstheme="minorHAnsi"/>
                <w:color w:val="000000"/>
                <w:sz w:val="20"/>
                <w:szCs w:val="20"/>
              </w:rPr>
              <w:t>Don't know</w:t>
            </w:r>
          </w:p>
        </w:tc>
        <w:tc>
          <w:tcPr>
            <w:tcW w:w="1104" w:type="dxa"/>
            <w:tcBorders>
              <w:top w:val="nil"/>
              <w:left w:val="single" w:sz="4" w:space="0" w:color="auto"/>
              <w:bottom w:val="single" w:sz="4" w:space="0" w:color="auto"/>
              <w:right w:val="single" w:sz="4" w:space="0" w:color="auto"/>
            </w:tcBorders>
            <w:shd w:val="clear" w:color="auto" w:fill="auto"/>
            <w:vAlign w:val="center"/>
          </w:tcPr>
          <w:p w:rsidR="00811F9F" w:rsidRPr="00B02A32" w:rsidRDefault="00811F9F" w:rsidP="00A77A90">
            <w:pPr>
              <w:jc w:val="right"/>
              <w:rPr>
                <w:rFonts w:cstheme="minorHAnsi"/>
                <w:color w:val="000000"/>
                <w:sz w:val="20"/>
                <w:szCs w:val="20"/>
              </w:rPr>
            </w:pPr>
            <w:r w:rsidRPr="00B02A32">
              <w:rPr>
                <w:rFonts w:cstheme="minorHAnsi"/>
                <w:color w:val="000000"/>
                <w:sz w:val="20"/>
                <w:szCs w:val="20"/>
              </w:rPr>
              <w:t>1</w:t>
            </w:r>
          </w:p>
        </w:tc>
        <w:tc>
          <w:tcPr>
            <w:tcW w:w="1925" w:type="dxa"/>
            <w:tcBorders>
              <w:top w:val="nil"/>
              <w:left w:val="single" w:sz="4" w:space="0" w:color="auto"/>
              <w:bottom w:val="single" w:sz="4" w:space="0" w:color="auto"/>
              <w:right w:val="single" w:sz="4" w:space="0" w:color="auto"/>
            </w:tcBorders>
            <w:shd w:val="clear" w:color="auto" w:fill="auto"/>
            <w:vAlign w:val="center"/>
          </w:tcPr>
          <w:p w:rsidR="00811F9F" w:rsidRPr="00B02A32" w:rsidRDefault="00811F9F" w:rsidP="00A77A90">
            <w:pPr>
              <w:rPr>
                <w:rFonts w:cstheme="minorHAnsi"/>
                <w:color w:val="000000"/>
                <w:sz w:val="20"/>
                <w:szCs w:val="20"/>
              </w:rPr>
            </w:pPr>
            <w:r w:rsidRPr="00B02A32">
              <w:rPr>
                <w:rFonts w:cstheme="minorHAnsi"/>
                <w:color w:val="000000"/>
                <w:sz w:val="20"/>
                <w:szCs w:val="20"/>
              </w:rPr>
              <w:t>Expert presentations</w:t>
            </w:r>
          </w:p>
        </w:tc>
      </w:tr>
      <w:tr w:rsidR="00811F9F" w:rsidTr="00F6330E">
        <w:tc>
          <w:tcPr>
            <w:tcW w:w="567" w:type="dxa"/>
            <w:shd w:val="clear" w:color="auto" w:fill="ABD9F8" w:themeFill="accent1" w:themeFillTint="66"/>
            <w:vAlign w:val="center"/>
          </w:tcPr>
          <w:p w:rsidR="00811F9F" w:rsidRPr="00F6330E" w:rsidRDefault="00811F9F" w:rsidP="00A77A90">
            <w:pPr>
              <w:rPr>
                <w:rFonts w:cstheme="minorHAnsi"/>
                <w:b/>
                <w:i/>
                <w:sz w:val="20"/>
                <w:szCs w:val="20"/>
              </w:rPr>
            </w:pPr>
            <w:r w:rsidRPr="00F6330E">
              <w:rPr>
                <w:rFonts w:cstheme="minorHAnsi"/>
                <w:b/>
                <w:i/>
                <w:sz w:val="20"/>
                <w:szCs w:val="20"/>
              </w:rPr>
              <w:t>3</w:t>
            </w:r>
          </w:p>
        </w:tc>
        <w:tc>
          <w:tcPr>
            <w:tcW w:w="3134" w:type="dxa"/>
            <w:tcBorders>
              <w:top w:val="nil"/>
              <w:left w:val="single" w:sz="4" w:space="0" w:color="auto"/>
              <w:bottom w:val="single" w:sz="4" w:space="0" w:color="auto"/>
              <w:right w:val="single" w:sz="4" w:space="0" w:color="auto"/>
            </w:tcBorders>
            <w:shd w:val="clear" w:color="auto" w:fill="ABD9F8" w:themeFill="accent1" w:themeFillTint="66"/>
            <w:vAlign w:val="center"/>
          </w:tcPr>
          <w:p w:rsidR="00811F9F" w:rsidRPr="00B02A32" w:rsidRDefault="00811F9F" w:rsidP="00A77A90">
            <w:pPr>
              <w:rPr>
                <w:rFonts w:cstheme="minorHAnsi"/>
                <w:color w:val="000000"/>
                <w:sz w:val="20"/>
                <w:szCs w:val="20"/>
              </w:rPr>
            </w:pPr>
            <w:r w:rsidRPr="00B02A32">
              <w:rPr>
                <w:rFonts w:cstheme="minorHAnsi"/>
                <w:color w:val="000000"/>
                <w:sz w:val="20"/>
                <w:szCs w:val="20"/>
              </w:rPr>
              <w:t>Expert presentations, deliberation</w:t>
            </w:r>
          </w:p>
        </w:tc>
        <w:tc>
          <w:tcPr>
            <w:tcW w:w="1120" w:type="dxa"/>
            <w:tcBorders>
              <w:top w:val="nil"/>
              <w:left w:val="single" w:sz="4" w:space="0" w:color="auto"/>
              <w:bottom w:val="single" w:sz="4" w:space="0" w:color="auto"/>
              <w:right w:val="single" w:sz="4" w:space="0" w:color="auto"/>
            </w:tcBorders>
            <w:shd w:val="clear" w:color="auto" w:fill="ABD9F8" w:themeFill="accent1" w:themeFillTint="66"/>
            <w:vAlign w:val="center"/>
          </w:tcPr>
          <w:p w:rsidR="00811F9F" w:rsidRPr="00B02A32" w:rsidRDefault="00811F9F" w:rsidP="00A77A90">
            <w:pPr>
              <w:jc w:val="right"/>
              <w:rPr>
                <w:rFonts w:cstheme="minorHAnsi"/>
                <w:color w:val="000000"/>
                <w:sz w:val="20"/>
                <w:szCs w:val="20"/>
              </w:rPr>
            </w:pPr>
            <w:r w:rsidRPr="00B02A32">
              <w:rPr>
                <w:rFonts w:cstheme="minorHAnsi"/>
                <w:color w:val="000000"/>
                <w:sz w:val="20"/>
                <w:szCs w:val="20"/>
              </w:rPr>
              <w:t>6+</w:t>
            </w:r>
          </w:p>
        </w:tc>
        <w:tc>
          <w:tcPr>
            <w:tcW w:w="1616" w:type="dxa"/>
            <w:tcBorders>
              <w:top w:val="nil"/>
              <w:left w:val="single" w:sz="4" w:space="0" w:color="auto"/>
              <w:bottom w:val="single" w:sz="4" w:space="0" w:color="auto"/>
              <w:right w:val="single" w:sz="4" w:space="0" w:color="auto"/>
            </w:tcBorders>
            <w:shd w:val="clear" w:color="auto" w:fill="ABD9F8" w:themeFill="accent1" w:themeFillTint="66"/>
            <w:vAlign w:val="center"/>
          </w:tcPr>
          <w:p w:rsidR="00811F9F" w:rsidRPr="00B02A32" w:rsidRDefault="00811F9F" w:rsidP="00A77A90">
            <w:pPr>
              <w:rPr>
                <w:rFonts w:cstheme="minorHAnsi"/>
                <w:color w:val="000000"/>
                <w:sz w:val="20"/>
                <w:szCs w:val="20"/>
              </w:rPr>
            </w:pPr>
            <w:r w:rsidRPr="00B02A32">
              <w:rPr>
                <w:rFonts w:cstheme="minorHAnsi"/>
                <w:color w:val="000000"/>
                <w:sz w:val="20"/>
                <w:szCs w:val="20"/>
              </w:rPr>
              <w:t>Facilitators and knowledge experts</w:t>
            </w:r>
          </w:p>
        </w:tc>
        <w:tc>
          <w:tcPr>
            <w:tcW w:w="1308" w:type="dxa"/>
            <w:tcBorders>
              <w:top w:val="nil"/>
              <w:left w:val="single" w:sz="4" w:space="0" w:color="auto"/>
              <w:bottom w:val="single" w:sz="4" w:space="0" w:color="auto"/>
              <w:right w:val="single" w:sz="4" w:space="0" w:color="auto"/>
            </w:tcBorders>
            <w:shd w:val="clear" w:color="auto" w:fill="ABD9F8" w:themeFill="accent1" w:themeFillTint="66"/>
            <w:vAlign w:val="center"/>
          </w:tcPr>
          <w:p w:rsidR="00811F9F" w:rsidRPr="00B02A32" w:rsidRDefault="00811F9F" w:rsidP="00A77A90">
            <w:pPr>
              <w:rPr>
                <w:rFonts w:cstheme="minorHAnsi"/>
                <w:color w:val="000000"/>
                <w:sz w:val="20"/>
                <w:szCs w:val="20"/>
              </w:rPr>
            </w:pPr>
            <w:r w:rsidRPr="00B02A32">
              <w:rPr>
                <w:rFonts w:cstheme="minorHAnsi"/>
                <w:color w:val="000000"/>
                <w:sz w:val="20"/>
                <w:szCs w:val="20"/>
              </w:rPr>
              <w:t>Steering group</w:t>
            </w:r>
          </w:p>
        </w:tc>
        <w:tc>
          <w:tcPr>
            <w:tcW w:w="1104" w:type="dxa"/>
            <w:tcBorders>
              <w:top w:val="nil"/>
              <w:left w:val="single" w:sz="4" w:space="0" w:color="auto"/>
              <w:bottom w:val="single" w:sz="4" w:space="0" w:color="auto"/>
              <w:right w:val="single" w:sz="4" w:space="0" w:color="auto"/>
            </w:tcBorders>
            <w:shd w:val="clear" w:color="auto" w:fill="ABD9F8" w:themeFill="accent1" w:themeFillTint="66"/>
            <w:vAlign w:val="center"/>
          </w:tcPr>
          <w:p w:rsidR="00811F9F" w:rsidRPr="00B02A32" w:rsidRDefault="00811F9F" w:rsidP="00A77A90">
            <w:pPr>
              <w:jc w:val="right"/>
              <w:rPr>
                <w:rFonts w:cstheme="minorHAnsi"/>
                <w:color w:val="000000"/>
                <w:sz w:val="20"/>
                <w:szCs w:val="20"/>
              </w:rPr>
            </w:pPr>
            <w:r w:rsidRPr="00B02A32">
              <w:rPr>
                <w:rFonts w:cstheme="minorHAnsi"/>
                <w:color w:val="000000"/>
                <w:sz w:val="20"/>
                <w:szCs w:val="20"/>
              </w:rPr>
              <w:t>1</w:t>
            </w:r>
          </w:p>
        </w:tc>
        <w:tc>
          <w:tcPr>
            <w:tcW w:w="1925" w:type="dxa"/>
            <w:tcBorders>
              <w:top w:val="nil"/>
              <w:left w:val="single" w:sz="4" w:space="0" w:color="auto"/>
              <w:bottom w:val="single" w:sz="4" w:space="0" w:color="auto"/>
              <w:right w:val="single" w:sz="4" w:space="0" w:color="auto"/>
            </w:tcBorders>
            <w:shd w:val="clear" w:color="auto" w:fill="ABD9F8" w:themeFill="accent1" w:themeFillTint="66"/>
            <w:vAlign w:val="center"/>
          </w:tcPr>
          <w:p w:rsidR="00811F9F" w:rsidRPr="00B02A32" w:rsidRDefault="00811F9F" w:rsidP="00A77A90">
            <w:pPr>
              <w:rPr>
                <w:rFonts w:cstheme="minorHAnsi"/>
                <w:color w:val="000000"/>
                <w:sz w:val="20"/>
                <w:szCs w:val="20"/>
              </w:rPr>
            </w:pPr>
            <w:r w:rsidRPr="00B02A32">
              <w:rPr>
                <w:rFonts w:cstheme="minorHAnsi"/>
                <w:color w:val="000000"/>
                <w:sz w:val="20"/>
                <w:szCs w:val="20"/>
              </w:rPr>
              <w:t>Expert presentations</w:t>
            </w:r>
          </w:p>
        </w:tc>
      </w:tr>
      <w:tr w:rsidR="00811F9F" w:rsidTr="00A77A90">
        <w:tc>
          <w:tcPr>
            <w:tcW w:w="567" w:type="dxa"/>
            <w:vAlign w:val="center"/>
          </w:tcPr>
          <w:p w:rsidR="00811F9F" w:rsidRPr="00F6330E" w:rsidRDefault="00811F9F" w:rsidP="00A77A90">
            <w:pPr>
              <w:rPr>
                <w:rFonts w:cstheme="minorHAnsi"/>
                <w:b/>
                <w:i/>
                <w:sz w:val="20"/>
                <w:szCs w:val="20"/>
              </w:rPr>
            </w:pPr>
            <w:r w:rsidRPr="00F6330E">
              <w:rPr>
                <w:rFonts w:cstheme="minorHAnsi"/>
                <w:b/>
                <w:i/>
                <w:sz w:val="20"/>
                <w:szCs w:val="20"/>
              </w:rPr>
              <w:t>4</w:t>
            </w:r>
          </w:p>
        </w:tc>
        <w:tc>
          <w:tcPr>
            <w:tcW w:w="3134" w:type="dxa"/>
            <w:tcBorders>
              <w:top w:val="nil"/>
              <w:left w:val="single" w:sz="4" w:space="0" w:color="auto"/>
              <w:bottom w:val="single" w:sz="4" w:space="0" w:color="auto"/>
              <w:right w:val="single" w:sz="4" w:space="0" w:color="auto"/>
            </w:tcBorders>
            <w:shd w:val="clear" w:color="auto" w:fill="auto"/>
            <w:vAlign w:val="center"/>
          </w:tcPr>
          <w:p w:rsidR="00811F9F" w:rsidRPr="00B02A32" w:rsidRDefault="00811F9F" w:rsidP="00A77A90">
            <w:pPr>
              <w:rPr>
                <w:rFonts w:cstheme="minorHAnsi"/>
                <w:color w:val="000000"/>
                <w:sz w:val="20"/>
                <w:szCs w:val="20"/>
              </w:rPr>
            </w:pPr>
            <w:r w:rsidRPr="00B02A32">
              <w:rPr>
                <w:rFonts w:cstheme="minorHAnsi"/>
                <w:color w:val="000000"/>
                <w:sz w:val="20"/>
                <w:szCs w:val="20"/>
              </w:rPr>
              <w:t>Preparatory briefing, electronic polls, expert presentations, deliberation</w:t>
            </w:r>
          </w:p>
        </w:tc>
        <w:tc>
          <w:tcPr>
            <w:tcW w:w="1120" w:type="dxa"/>
            <w:tcBorders>
              <w:top w:val="nil"/>
              <w:left w:val="single" w:sz="4" w:space="0" w:color="auto"/>
              <w:bottom w:val="single" w:sz="4" w:space="0" w:color="auto"/>
              <w:right w:val="single" w:sz="4" w:space="0" w:color="auto"/>
            </w:tcBorders>
            <w:shd w:val="clear" w:color="auto" w:fill="auto"/>
            <w:vAlign w:val="center"/>
          </w:tcPr>
          <w:p w:rsidR="00811F9F" w:rsidRPr="00B02A32" w:rsidRDefault="00811F9F" w:rsidP="00A77A90">
            <w:pPr>
              <w:jc w:val="right"/>
              <w:rPr>
                <w:rFonts w:cstheme="minorHAnsi"/>
                <w:color w:val="000000"/>
                <w:sz w:val="20"/>
                <w:szCs w:val="20"/>
              </w:rPr>
            </w:pPr>
            <w:r w:rsidRPr="00B02A32">
              <w:rPr>
                <w:rFonts w:cstheme="minorHAnsi"/>
                <w:color w:val="000000"/>
                <w:sz w:val="20"/>
                <w:szCs w:val="20"/>
              </w:rPr>
              <w:t>2+</w:t>
            </w:r>
          </w:p>
        </w:tc>
        <w:tc>
          <w:tcPr>
            <w:tcW w:w="1616" w:type="dxa"/>
            <w:tcBorders>
              <w:top w:val="nil"/>
              <w:left w:val="single" w:sz="4" w:space="0" w:color="auto"/>
              <w:bottom w:val="single" w:sz="4" w:space="0" w:color="auto"/>
              <w:right w:val="single" w:sz="4" w:space="0" w:color="auto"/>
            </w:tcBorders>
            <w:shd w:val="clear" w:color="auto" w:fill="auto"/>
            <w:vAlign w:val="center"/>
          </w:tcPr>
          <w:p w:rsidR="00811F9F" w:rsidRPr="00B02A32" w:rsidRDefault="00811F9F" w:rsidP="00A77A90">
            <w:pPr>
              <w:rPr>
                <w:rFonts w:cstheme="minorHAnsi"/>
                <w:color w:val="000000"/>
                <w:sz w:val="20"/>
                <w:szCs w:val="20"/>
              </w:rPr>
            </w:pPr>
            <w:r w:rsidRPr="00B02A32">
              <w:rPr>
                <w:rFonts w:cstheme="minorHAnsi"/>
                <w:color w:val="000000"/>
                <w:sz w:val="20"/>
                <w:szCs w:val="20"/>
              </w:rPr>
              <w:t>Facilitators and knowledge experts</w:t>
            </w:r>
          </w:p>
        </w:tc>
        <w:tc>
          <w:tcPr>
            <w:tcW w:w="1308" w:type="dxa"/>
            <w:tcBorders>
              <w:top w:val="nil"/>
              <w:left w:val="single" w:sz="4" w:space="0" w:color="auto"/>
              <w:bottom w:val="single" w:sz="4" w:space="0" w:color="auto"/>
              <w:right w:val="single" w:sz="4" w:space="0" w:color="auto"/>
            </w:tcBorders>
            <w:shd w:val="clear" w:color="auto" w:fill="auto"/>
            <w:vAlign w:val="center"/>
          </w:tcPr>
          <w:p w:rsidR="00811F9F" w:rsidRPr="00B02A32" w:rsidRDefault="00811F9F" w:rsidP="00A77A90">
            <w:pPr>
              <w:rPr>
                <w:rFonts w:cstheme="minorHAnsi"/>
                <w:color w:val="000000"/>
                <w:sz w:val="20"/>
                <w:szCs w:val="20"/>
              </w:rPr>
            </w:pPr>
            <w:r w:rsidRPr="00B02A32">
              <w:rPr>
                <w:rFonts w:cstheme="minorHAnsi"/>
                <w:color w:val="000000"/>
                <w:sz w:val="20"/>
                <w:szCs w:val="20"/>
              </w:rPr>
              <w:t>Mini-public organisers</w:t>
            </w:r>
          </w:p>
        </w:tc>
        <w:tc>
          <w:tcPr>
            <w:tcW w:w="1104" w:type="dxa"/>
            <w:tcBorders>
              <w:top w:val="nil"/>
              <w:left w:val="single" w:sz="4" w:space="0" w:color="auto"/>
              <w:bottom w:val="single" w:sz="4" w:space="0" w:color="auto"/>
              <w:right w:val="single" w:sz="4" w:space="0" w:color="auto"/>
            </w:tcBorders>
            <w:shd w:val="clear" w:color="auto" w:fill="auto"/>
            <w:vAlign w:val="center"/>
          </w:tcPr>
          <w:p w:rsidR="00811F9F" w:rsidRPr="00B02A32" w:rsidRDefault="00811F9F" w:rsidP="00A77A90">
            <w:pPr>
              <w:jc w:val="right"/>
              <w:rPr>
                <w:rFonts w:cstheme="minorHAnsi"/>
                <w:color w:val="000000"/>
                <w:sz w:val="20"/>
                <w:szCs w:val="20"/>
              </w:rPr>
            </w:pPr>
            <w:r w:rsidRPr="00B02A32">
              <w:rPr>
                <w:rFonts w:cstheme="minorHAnsi"/>
                <w:color w:val="000000"/>
                <w:sz w:val="20"/>
                <w:szCs w:val="20"/>
              </w:rPr>
              <w:t>1</w:t>
            </w:r>
          </w:p>
        </w:tc>
        <w:tc>
          <w:tcPr>
            <w:tcW w:w="1925" w:type="dxa"/>
            <w:tcBorders>
              <w:top w:val="nil"/>
              <w:left w:val="single" w:sz="4" w:space="0" w:color="auto"/>
              <w:bottom w:val="single" w:sz="4" w:space="0" w:color="auto"/>
              <w:right w:val="single" w:sz="4" w:space="0" w:color="auto"/>
            </w:tcBorders>
            <w:shd w:val="clear" w:color="auto" w:fill="auto"/>
            <w:vAlign w:val="center"/>
          </w:tcPr>
          <w:p w:rsidR="00811F9F" w:rsidRPr="00B02A32" w:rsidRDefault="00811F9F" w:rsidP="00A77A90">
            <w:pPr>
              <w:rPr>
                <w:rFonts w:cstheme="minorHAnsi"/>
                <w:color w:val="000000"/>
                <w:sz w:val="20"/>
                <w:szCs w:val="20"/>
              </w:rPr>
            </w:pPr>
            <w:r w:rsidRPr="00B02A32">
              <w:rPr>
                <w:rFonts w:cstheme="minorHAnsi"/>
                <w:color w:val="000000"/>
                <w:sz w:val="20"/>
                <w:szCs w:val="20"/>
              </w:rPr>
              <w:t>Expert presentations</w:t>
            </w:r>
          </w:p>
        </w:tc>
      </w:tr>
      <w:tr w:rsidR="00811F9F" w:rsidTr="00F6330E">
        <w:tc>
          <w:tcPr>
            <w:tcW w:w="567" w:type="dxa"/>
            <w:shd w:val="clear" w:color="auto" w:fill="ABD9F8" w:themeFill="accent1" w:themeFillTint="66"/>
            <w:vAlign w:val="center"/>
          </w:tcPr>
          <w:p w:rsidR="00811F9F" w:rsidRPr="00F6330E" w:rsidRDefault="00811F9F" w:rsidP="00A77A90">
            <w:pPr>
              <w:rPr>
                <w:rFonts w:cstheme="minorHAnsi"/>
                <w:b/>
                <w:i/>
                <w:sz w:val="20"/>
                <w:szCs w:val="20"/>
              </w:rPr>
            </w:pPr>
            <w:r w:rsidRPr="00F6330E">
              <w:rPr>
                <w:rFonts w:cstheme="minorHAnsi"/>
                <w:b/>
                <w:i/>
                <w:sz w:val="20"/>
                <w:szCs w:val="20"/>
              </w:rPr>
              <w:t>5</w:t>
            </w:r>
          </w:p>
        </w:tc>
        <w:tc>
          <w:tcPr>
            <w:tcW w:w="3134" w:type="dxa"/>
            <w:tcBorders>
              <w:top w:val="nil"/>
              <w:left w:val="single" w:sz="4" w:space="0" w:color="auto"/>
              <w:bottom w:val="single" w:sz="4" w:space="0" w:color="auto"/>
              <w:right w:val="single" w:sz="4" w:space="0" w:color="auto"/>
            </w:tcBorders>
            <w:shd w:val="clear" w:color="auto" w:fill="ABD9F8" w:themeFill="accent1" w:themeFillTint="66"/>
            <w:vAlign w:val="center"/>
          </w:tcPr>
          <w:p w:rsidR="00811F9F" w:rsidRPr="00B02A32" w:rsidRDefault="00811F9F" w:rsidP="00A77A90">
            <w:pPr>
              <w:rPr>
                <w:rFonts w:cstheme="minorHAnsi"/>
                <w:color w:val="000000"/>
                <w:sz w:val="20"/>
                <w:szCs w:val="20"/>
              </w:rPr>
            </w:pPr>
            <w:r w:rsidRPr="00B02A32">
              <w:rPr>
                <w:rFonts w:cstheme="minorHAnsi"/>
                <w:color w:val="000000"/>
                <w:sz w:val="20"/>
                <w:szCs w:val="20"/>
              </w:rPr>
              <w:t>Preparatory workshops, ice-breaker activities, expert presentations, deliberation</w:t>
            </w:r>
          </w:p>
        </w:tc>
        <w:tc>
          <w:tcPr>
            <w:tcW w:w="1120" w:type="dxa"/>
            <w:tcBorders>
              <w:top w:val="nil"/>
              <w:left w:val="single" w:sz="4" w:space="0" w:color="auto"/>
              <w:bottom w:val="single" w:sz="4" w:space="0" w:color="auto"/>
              <w:right w:val="single" w:sz="4" w:space="0" w:color="auto"/>
            </w:tcBorders>
            <w:shd w:val="clear" w:color="auto" w:fill="ABD9F8" w:themeFill="accent1" w:themeFillTint="66"/>
            <w:vAlign w:val="center"/>
          </w:tcPr>
          <w:p w:rsidR="00811F9F" w:rsidRPr="00B02A32" w:rsidRDefault="00811F9F" w:rsidP="00A77A90">
            <w:pPr>
              <w:jc w:val="right"/>
              <w:rPr>
                <w:rFonts w:cstheme="minorHAnsi"/>
                <w:color w:val="000000"/>
                <w:sz w:val="20"/>
                <w:szCs w:val="20"/>
              </w:rPr>
            </w:pPr>
            <w:r w:rsidRPr="00B02A32">
              <w:rPr>
                <w:rFonts w:cstheme="minorHAnsi"/>
                <w:color w:val="000000"/>
                <w:sz w:val="20"/>
                <w:szCs w:val="20"/>
              </w:rPr>
              <w:t>2+</w:t>
            </w:r>
          </w:p>
        </w:tc>
        <w:tc>
          <w:tcPr>
            <w:tcW w:w="1616" w:type="dxa"/>
            <w:tcBorders>
              <w:top w:val="nil"/>
              <w:left w:val="single" w:sz="4" w:space="0" w:color="auto"/>
              <w:bottom w:val="single" w:sz="4" w:space="0" w:color="auto"/>
              <w:right w:val="single" w:sz="4" w:space="0" w:color="auto"/>
            </w:tcBorders>
            <w:shd w:val="clear" w:color="auto" w:fill="ABD9F8" w:themeFill="accent1" w:themeFillTint="66"/>
            <w:vAlign w:val="center"/>
          </w:tcPr>
          <w:p w:rsidR="00811F9F" w:rsidRPr="00B02A32" w:rsidRDefault="00811F9F" w:rsidP="00A77A90">
            <w:pPr>
              <w:rPr>
                <w:rFonts w:cstheme="minorHAnsi"/>
                <w:color w:val="000000"/>
                <w:sz w:val="20"/>
                <w:szCs w:val="20"/>
              </w:rPr>
            </w:pPr>
            <w:r w:rsidRPr="00B02A32">
              <w:rPr>
                <w:rFonts w:cstheme="minorHAnsi"/>
                <w:color w:val="000000"/>
                <w:sz w:val="20"/>
                <w:szCs w:val="20"/>
              </w:rPr>
              <w:t>Facilitators and knowledge experts</w:t>
            </w:r>
          </w:p>
        </w:tc>
        <w:tc>
          <w:tcPr>
            <w:tcW w:w="1308" w:type="dxa"/>
            <w:tcBorders>
              <w:top w:val="nil"/>
              <w:left w:val="single" w:sz="4" w:space="0" w:color="auto"/>
              <w:bottom w:val="single" w:sz="4" w:space="0" w:color="auto"/>
              <w:right w:val="single" w:sz="4" w:space="0" w:color="auto"/>
            </w:tcBorders>
            <w:shd w:val="clear" w:color="auto" w:fill="ABD9F8" w:themeFill="accent1" w:themeFillTint="66"/>
            <w:vAlign w:val="center"/>
          </w:tcPr>
          <w:p w:rsidR="00811F9F" w:rsidRPr="00B02A32" w:rsidRDefault="00811F9F" w:rsidP="00A77A90">
            <w:pPr>
              <w:rPr>
                <w:rFonts w:cstheme="minorHAnsi"/>
                <w:color w:val="000000"/>
                <w:sz w:val="20"/>
                <w:szCs w:val="20"/>
              </w:rPr>
            </w:pPr>
            <w:r w:rsidRPr="00B02A32">
              <w:rPr>
                <w:rFonts w:cstheme="minorHAnsi"/>
                <w:color w:val="000000"/>
                <w:sz w:val="20"/>
                <w:szCs w:val="20"/>
              </w:rPr>
              <w:t>Don't know</w:t>
            </w:r>
          </w:p>
        </w:tc>
        <w:tc>
          <w:tcPr>
            <w:tcW w:w="1104" w:type="dxa"/>
            <w:tcBorders>
              <w:top w:val="nil"/>
              <w:left w:val="single" w:sz="4" w:space="0" w:color="auto"/>
              <w:bottom w:val="single" w:sz="4" w:space="0" w:color="auto"/>
              <w:right w:val="single" w:sz="4" w:space="0" w:color="auto"/>
            </w:tcBorders>
            <w:shd w:val="clear" w:color="auto" w:fill="ABD9F8" w:themeFill="accent1" w:themeFillTint="66"/>
            <w:vAlign w:val="center"/>
          </w:tcPr>
          <w:p w:rsidR="00811F9F" w:rsidRPr="00B02A32" w:rsidRDefault="00811F9F" w:rsidP="00A77A90">
            <w:pPr>
              <w:jc w:val="right"/>
              <w:rPr>
                <w:rFonts w:cstheme="minorHAnsi"/>
                <w:color w:val="000000"/>
                <w:sz w:val="20"/>
                <w:szCs w:val="20"/>
              </w:rPr>
            </w:pPr>
            <w:r w:rsidRPr="00B02A32">
              <w:rPr>
                <w:rFonts w:cstheme="minorHAnsi"/>
                <w:color w:val="000000"/>
                <w:sz w:val="20"/>
                <w:szCs w:val="20"/>
              </w:rPr>
              <w:t>2</w:t>
            </w:r>
          </w:p>
        </w:tc>
        <w:tc>
          <w:tcPr>
            <w:tcW w:w="1925" w:type="dxa"/>
            <w:tcBorders>
              <w:top w:val="nil"/>
              <w:left w:val="single" w:sz="4" w:space="0" w:color="auto"/>
              <w:bottom w:val="single" w:sz="4" w:space="0" w:color="auto"/>
              <w:right w:val="single" w:sz="4" w:space="0" w:color="auto"/>
            </w:tcBorders>
            <w:shd w:val="clear" w:color="auto" w:fill="ABD9F8" w:themeFill="accent1" w:themeFillTint="66"/>
            <w:vAlign w:val="center"/>
          </w:tcPr>
          <w:p w:rsidR="00811F9F" w:rsidRPr="00B02A32" w:rsidRDefault="00811F9F" w:rsidP="00A77A90">
            <w:pPr>
              <w:rPr>
                <w:rFonts w:cstheme="minorHAnsi"/>
                <w:color w:val="000000"/>
                <w:sz w:val="20"/>
                <w:szCs w:val="20"/>
              </w:rPr>
            </w:pPr>
            <w:r w:rsidRPr="00B02A32">
              <w:rPr>
                <w:rFonts w:cstheme="minorHAnsi"/>
                <w:color w:val="000000"/>
                <w:sz w:val="20"/>
                <w:szCs w:val="20"/>
              </w:rPr>
              <w:t>Expert presentations</w:t>
            </w:r>
          </w:p>
        </w:tc>
      </w:tr>
      <w:tr w:rsidR="00811F9F" w:rsidTr="00A77A90">
        <w:tc>
          <w:tcPr>
            <w:tcW w:w="567" w:type="dxa"/>
            <w:vAlign w:val="center"/>
          </w:tcPr>
          <w:p w:rsidR="00811F9F" w:rsidRPr="00F6330E" w:rsidRDefault="00811F9F" w:rsidP="00A77A90">
            <w:pPr>
              <w:rPr>
                <w:rFonts w:cstheme="minorHAnsi"/>
                <w:b/>
                <w:i/>
                <w:sz w:val="20"/>
                <w:szCs w:val="20"/>
              </w:rPr>
            </w:pPr>
            <w:r w:rsidRPr="00F6330E">
              <w:rPr>
                <w:rFonts w:cstheme="minorHAnsi"/>
                <w:b/>
                <w:i/>
                <w:sz w:val="20"/>
                <w:szCs w:val="20"/>
              </w:rPr>
              <w:t>6</w:t>
            </w:r>
          </w:p>
        </w:tc>
        <w:tc>
          <w:tcPr>
            <w:tcW w:w="3134" w:type="dxa"/>
            <w:tcBorders>
              <w:top w:val="nil"/>
              <w:left w:val="single" w:sz="4" w:space="0" w:color="auto"/>
              <w:bottom w:val="single" w:sz="4" w:space="0" w:color="auto"/>
              <w:right w:val="single" w:sz="4" w:space="0" w:color="auto"/>
            </w:tcBorders>
            <w:shd w:val="clear" w:color="auto" w:fill="auto"/>
            <w:vAlign w:val="center"/>
          </w:tcPr>
          <w:p w:rsidR="00811F9F" w:rsidRPr="00B02A32" w:rsidRDefault="00811F9F" w:rsidP="00A77A90">
            <w:pPr>
              <w:rPr>
                <w:rFonts w:cstheme="minorHAnsi"/>
                <w:color w:val="000000"/>
                <w:sz w:val="20"/>
                <w:szCs w:val="20"/>
              </w:rPr>
            </w:pPr>
            <w:r w:rsidRPr="00B02A32">
              <w:rPr>
                <w:rFonts w:cstheme="minorHAnsi"/>
                <w:color w:val="000000"/>
                <w:sz w:val="20"/>
                <w:szCs w:val="20"/>
              </w:rPr>
              <w:t>Training session, deliberation</w:t>
            </w:r>
          </w:p>
        </w:tc>
        <w:tc>
          <w:tcPr>
            <w:tcW w:w="1120" w:type="dxa"/>
            <w:tcBorders>
              <w:top w:val="nil"/>
              <w:left w:val="single" w:sz="4" w:space="0" w:color="auto"/>
              <w:bottom w:val="single" w:sz="4" w:space="0" w:color="auto"/>
              <w:right w:val="single" w:sz="4" w:space="0" w:color="auto"/>
            </w:tcBorders>
            <w:shd w:val="clear" w:color="auto" w:fill="auto"/>
            <w:vAlign w:val="center"/>
          </w:tcPr>
          <w:p w:rsidR="00811F9F" w:rsidRPr="00B02A32" w:rsidRDefault="00811F9F" w:rsidP="00A77A90">
            <w:pPr>
              <w:jc w:val="right"/>
              <w:rPr>
                <w:rFonts w:cstheme="minorHAnsi"/>
                <w:color w:val="000000"/>
                <w:sz w:val="20"/>
                <w:szCs w:val="20"/>
              </w:rPr>
            </w:pPr>
            <w:r w:rsidRPr="00B02A32">
              <w:rPr>
                <w:rFonts w:cstheme="minorHAnsi"/>
                <w:color w:val="000000"/>
                <w:sz w:val="20"/>
                <w:szCs w:val="20"/>
              </w:rPr>
              <w:t>Don't know</w:t>
            </w:r>
          </w:p>
        </w:tc>
        <w:tc>
          <w:tcPr>
            <w:tcW w:w="1616" w:type="dxa"/>
            <w:tcBorders>
              <w:top w:val="nil"/>
              <w:left w:val="single" w:sz="4" w:space="0" w:color="auto"/>
              <w:bottom w:val="single" w:sz="4" w:space="0" w:color="auto"/>
              <w:right w:val="single" w:sz="4" w:space="0" w:color="auto"/>
            </w:tcBorders>
            <w:shd w:val="clear" w:color="auto" w:fill="auto"/>
            <w:vAlign w:val="center"/>
          </w:tcPr>
          <w:p w:rsidR="00811F9F" w:rsidRPr="00B02A32" w:rsidRDefault="00811F9F" w:rsidP="00A77A90">
            <w:pPr>
              <w:rPr>
                <w:rFonts w:cstheme="minorHAnsi"/>
                <w:color w:val="000000"/>
                <w:sz w:val="20"/>
                <w:szCs w:val="20"/>
              </w:rPr>
            </w:pPr>
            <w:r w:rsidRPr="00B02A32">
              <w:rPr>
                <w:rFonts w:cstheme="minorHAnsi"/>
                <w:color w:val="000000"/>
                <w:sz w:val="20"/>
                <w:szCs w:val="20"/>
              </w:rPr>
              <w:t>Don't know</w:t>
            </w:r>
          </w:p>
        </w:tc>
        <w:tc>
          <w:tcPr>
            <w:tcW w:w="1308" w:type="dxa"/>
            <w:tcBorders>
              <w:top w:val="nil"/>
              <w:left w:val="single" w:sz="4" w:space="0" w:color="auto"/>
              <w:bottom w:val="single" w:sz="4" w:space="0" w:color="auto"/>
              <w:right w:val="single" w:sz="4" w:space="0" w:color="auto"/>
            </w:tcBorders>
            <w:shd w:val="clear" w:color="auto" w:fill="auto"/>
            <w:vAlign w:val="center"/>
          </w:tcPr>
          <w:p w:rsidR="00811F9F" w:rsidRPr="00B02A32" w:rsidRDefault="00811F9F" w:rsidP="00A77A90">
            <w:pPr>
              <w:rPr>
                <w:rFonts w:cstheme="minorHAnsi"/>
                <w:color w:val="000000"/>
                <w:sz w:val="20"/>
                <w:szCs w:val="20"/>
              </w:rPr>
            </w:pPr>
            <w:r w:rsidRPr="00B02A32">
              <w:rPr>
                <w:rFonts w:cstheme="minorHAnsi"/>
                <w:color w:val="000000"/>
                <w:sz w:val="20"/>
                <w:szCs w:val="20"/>
              </w:rPr>
              <w:t>Don't know</w:t>
            </w:r>
          </w:p>
        </w:tc>
        <w:tc>
          <w:tcPr>
            <w:tcW w:w="1104" w:type="dxa"/>
            <w:tcBorders>
              <w:top w:val="nil"/>
              <w:left w:val="single" w:sz="4" w:space="0" w:color="auto"/>
              <w:bottom w:val="single" w:sz="4" w:space="0" w:color="auto"/>
              <w:right w:val="single" w:sz="4" w:space="0" w:color="auto"/>
            </w:tcBorders>
            <w:shd w:val="clear" w:color="auto" w:fill="auto"/>
            <w:vAlign w:val="center"/>
          </w:tcPr>
          <w:p w:rsidR="00811F9F" w:rsidRPr="00B02A32" w:rsidRDefault="00811F9F" w:rsidP="00A77A90">
            <w:pPr>
              <w:jc w:val="right"/>
              <w:rPr>
                <w:rFonts w:cstheme="minorHAnsi"/>
                <w:color w:val="000000"/>
                <w:sz w:val="20"/>
                <w:szCs w:val="20"/>
              </w:rPr>
            </w:pPr>
            <w:r w:rsidRPr="00B02A32">
              <w:rPr>
                <w:rFonts w:cstheme="minorHAnsi"/>
                <w:color w:val="000000"/>
                <w:sz w:val="20"/>
                <w:szCs w:val="20"/>
              </w:rPr>
              <w:t>0</w:t>
            </w:r>
          </w:p>
        </w:tc>
        <w:tc>
          <w:tcPr>
            <w:tcW w:w="1925" w:type="dxa"/>
            <w:tcBorders>
              <w:top w:val="nil"/>
              <w:left w:val="single" w:sz="4" w:space="0" w:color="auto"/>
              <w:bottom w:val="single" w:sz="4" w:space="0" w:color="auto"/>
              <w:right w:val="single" w:sz="4" w:space="0" w:color="auto"/>
            </w:tcBorders>
            <w:shd w:val="clear" w:color="auto" w:fill="auto"/>
            <w:vAlign w:val="center"/>
          </w:tcPr>
          <w:p w:rsidR="00811F9F" w:rsidRPr="00B02A32" w:rsidRDefault="00811F9F" w:rsidP="00A77A90">
            <w:pPr>
              <w:rPr>
                <w:rFonts w:cstheme="minorHAnsi"/>
                <w:sz w:val="20"/>
                <w:szCs w:val="20"/>
              </w:rPr>
            </w:pPr>
            <w:r w:rsidRPr="00B02A32">
              <w:rPr>
                <w:rFonts w:cstheme="minorHAnsi"/>
                <w:sz w:val="20"/>
                <w:szCs w:val="20"/>
              </w:rPr>
              <w:t>A variety of resources were available</w:t>
            </w:r>
          </w:p>
        </w:tc>
      </w:tr>
      <w:tr w:rsidR="00811F9F" w:rsidTr="00F6330E">
        <w:tc>
          <w:tcPr>
            <w:tcW w:w="567" w:type="dxa"/>
            <w:shd w:val="clear" w:color="auto" w:fill="ABD9F8" w:themeFill="accent1" w:themeFillTint="66"/>
            <w:vAlign w:val="center"/>
          </w:tcPr>
          <w:p w:rsidR="00811F9F" w:rsidRPr="00F6330E" w:rsidRDefault="00811F9F" w:rsidP="00A77A90">
            <w:pPr>
              <w:rPr>
                <w:rFonts w:cstheme="minorHAnsi"/>
                <w:b/>
                <w:i/>
                <w:sz w:val="20"/>
                <w:szCs w:val="20"/>
              </w:rPr>
            </w:pPr>
            <w:r w:rsidRPr="00F6330E">
              <w:rPr>
                <w:rFonts w:cstheme="minorHAnsi"/>
                <w:b/>
                <w:i/>
                <w:sz w:val="20"/>
                <w:szCs w:val="20"/>
              </w:rPr>
              <w:t>7</w:t>
            </w:r>
          </w:p>
        </w:tc>
        <w:tc>
          <w:tcPr>
            <w:tcW w:w="3134" w:type="dxa"/>
            <w:tcBorders>
              <w:top w:val="nil"/>
              <w:left w:val="single" w:sz="4" w:space="0" w:color="auto"/>
              <w:bottom w:val="single" w:sz="4" w:space="0" w:color="auto"/>
              <w:right w:val="single" w:sz="4" w:space="0" w:color="auto"/>
            </w:tcBorders>
            <w:shd w:val="clear" w:color="auto" w:fill="ABD9F8" w:themeFill="accent1" w:themeFillTint="66"/>
            <w:vAlign w:val="center"/>
          </w:tcPr>
          <w:p w:rsidR="00811F9F" w:rsidRPr="00B02A32" w:rsidRDefault="00811F9F" w:rsidP="00A77A90">
            <w:pPr>
              <w:rPr>
                <w:rFonts w:cstheme="minorHAnsi"/>
                <w:color w:val="000000"/>
                <w:sz w:val="20"/>
                <w:szCs w:val="20"/>
              </w:rPr>
            </w:pPr>
            <w:r w:rsidRPr="00B02A32">
              <w:rPr>
                <w:rFonts w:cstheme="minorHAnsi"/>
                <w:color w:val="000000"/>
                <w:sz w:val="20"/>
                <w:szCs w:val="20"/>
              </w:rPr>
              <w:t>Prepa</w:t>
            </w:r>
            <w:r>
              <w:rPr>
                <w:rFonts w:cstheme="minorHAnsi"/>
                <w:color w:val="000000"/>
                <w:sz w:val="20"/>
                <w:szCs w:val="20"/>
              </w:rPr>
              <w:t>ra</w:t>
            </w:r>
            <w:r w:rsidRPr="00B02A32">
              <w:rPr>
                <w:rFonts w:cstheme="minorHAnsi"/>
                <w:color w:val="000000"/>
                <w:sz w:val="20"/>
                <w:szCs w:val="20"/>
              </w:rPr>
              <w:t>tory briefing, ice-breakers, presentations, deliberation</w:t>
            </w:r>
          </w:p>
        </w:tc>
        <w:tc>
          <w:tcPr>
            <w:tcW w:w="1120" w:type="dxa"/>
            <w:tcBorders>
              <w:top w:val="nil"/>
              <w:left w:val="single" w:sz="4" w:space="0" w:color="auto"/>
              <w:bottom w:val="single" w:sz="4" w:space="0" w:color="auto"/>
              <w:right w:val="single" w:sz="4" w:space="0" w:color="auto"/>
            </w:tcBorders>
            <w:shd w:val="clear" w:color="auto" w:fill="ABD9F8" w:themeFill="accent1" w:themeFillTint="66"/>
            <w:vAlign w:val="center"/>
          </w:tcPr>
          <w:p w:rsidR="00811F9F" w:rsidRPr="00B02A32" w:rsidRDefault="00811F9F" w:rsidP="00A77A90">
            <w:pPr>
              <w:jc w:val="right"/>
              <w:rPr>
                <w:rFonts w:cstheme="minorHAnsi"/>
                <w:color w:val="000000"/>
                <w:sz w:val="20"/>
                <w:szCs w:val="20"/>
              </w:rPr>
            </w:pPr>
            <w:r w:rsidRPr="00B02A32">
              <w:rPr>
                <w:rFonts w:cstheme="minorHAnsi"/>
                <w:color w:val="000000"/>
                <w:sz w:val="20"/>
                <w:szCs w:val="20"/>
              </w:rPr>
              <w:t>2+</w:t>
            </w:r>
          </w:p>
        </w:tc>
        <w:tc>
          <w:tcPr>
            <w:tcW w:w="1616" w:type="dxa"/>
            <w:tcBorders>
              <w:top w:val="nil"/>
              <w:left w:val="single" w:sz="4" w:space="0" w:color="auto"/>
              <w:bottom w:val="single" w:sz="4" w:space="0" w:color="auto"/>
              <w:right w:val="single" w:sz="4" w:space="0" w:color="auto"/>
            </w:tcBorders>
            <w:shd w:val="clear" w:color="auto" w:fill="ABD9F8" w:themeFill="accent1" w:themeFillTint="66"/>
            <w:vAlign w:val="center"/>
          </w:tcPr>
          <w:p w:rsidR="00811F9F" w:rsidRPr="00B02A32" w:rsidRDefault="00811F9F" w:rsidP="00A77A90">
            <w:pPr>
              <w:rPr>
                <w:rFonts w:cstheme="minorHAnsi"/>
                <w:color w:val="000000"/>
                <w:sz w:val="20"/>
                <w:szCs w:val="20"/>
              </w:rPr>
            </w:pPr>
            <w:r w:rsidRPr="00B02A32">
              <w:rPr>
                <w:rFonts w:cstheme="minorHAnsi"/>
                <w:color w:val="000000"/>
                <w:sz w:val="20"/>
                <w:szCs w:val="20"/>
              </w:rPr>
              <w:t>Facilitators and knowledge experts</w:t>
            </w:r>
          </w:p>
        </w:tc>
        <w:tc>
          <w:tcPr>
            <w:tcW w:w="1308" w:type="dxa"/>
            <w:tcBorders>
              <w:top w:val="nil"/>
              <w:left w:val="single" w:sz="4" w:space="0" w:color="auto"/>
              <w:bottom w:val="single" w:sz="4" w:space="0" w:color="auto"/>
              <w:right w:val="single" w:sz="4" w:space="0" w:color="auto"/>
            </w:tcBorders>
            <w:shd w:val="clear" w:color="auto" w:fill="ABD9F8" w:themeFill="accent1" w:themeFillTint="66"/>
            <w:vAlign w:val="center"/>
          </w:tcPr>
          <w:p w:rsidR="00811F9F" w:rsidRPr="00B02A32" w:rsidRDefault="00811F9F" w:rsidP="00A77A90">
            <w:pPr>
              <w:rPr>
                <w:rFonts w:cstheme="minorHAnsi"/>
                <w:color w:val="000000"/>
                <w:sz w:val="20"/>
                <w:szCs w:val="20"/>
              </w:rPr>
            </w:pPr>
            <w:r w:rsidRPr="00B02A32">
              <w:rPr>
                <w:rFonts w:cstheme="minorHAnsi"/>
                <w:color w:val="000000"/>
                <w:sz w:val="20"/>
                <w:szCs w:val="20"/>
              </w:rPr>
              <w:t>Mini-public organisers</w:t>
            </w:r>
          </w:p>
        </w:tc>
        <w:tc>
          <w:tcPr>
            <w:tcW w:w="1104" w:type="dxa"/>
            <w:tcBorders>
              <w:top w:val="nil"/>
              <w:left w:val="single" w:sz="4" w:space="0" w:color="auto"/>
              <w:bottom w:val="single" w:sz="4" w:space="0" w:color="auto"/>
              <w:right w:val="single" w:sz="4" w:space="0" w:color="auto"/>
            </w:tcBorders>
            <w:shd w:val="clear" w:color="auto" w:fill="ABD9F8" w:themeFill="accent1" w:themeFillTint="66"/>
            <w:vAlign w:val="center"/>
          </w:tcPr>
          <w:p w:rsidR="00811F9F" w:rsidRPr="00B02A32" w:rsidRDefault="00811F9F" w:rsidP="00A77A90">
            <w:pPr>
              <w:jc w:val="right"/>
              <w:rPr>
                <w:rFonts w:cstheme="minorHAnsi"/>
                <w:color w:val="000000"/>
                <w:sz w:val="20"/>
                <w:szCs w:val="20"/>
              </w:rPr>
            </w:pPr>
            <w:r w:rsidRPr="00B02A32">
              <w:rPr>
                <w:rFonts w:cstheme="minorHAnsi"/>
                <w:color w:val="000000"/>
                <w:sz w:val="20"/>
                <w:szCs w:val="20"/>
              </w:rPr>
              <w:t>1</w:t>
            </w:r>
          </w:p>
        </w:tc>
        <w:tc>
          <w:tcPr>
            <w:tcW w:w="1925" w:type="dxa"/>
            <w:tcBorders>
              <w:top w:val="nil"/>
              <w:left w:val="single" w:sz="4" w:space="0" w:color="auto"/>
              <w:bottom w:val="single" w:sz="4" w:space="0" w:color="auto"/>
              <w:right w:val="single" w:sz="4" w:space="0" w:color="auto"/>
            </w:tcBorders>
            <w:shd w:val="clear" w:color="auto" w:fill="ABD9F8" w:themeFill="accent1" w:themeFillTint="66"/>
            <w:vAlign w:val="center"/>
          </w:tcPr>
          <w:p w:rsidR="00811F9F" w:rsidRPr="00B02A32" w:rsidRDefault="00811F9F" w:rsidP="00A77A90">
            <w:pPr>
              <w:rPr>
                <w:rFonts w:cstheme="minorHAnsi"/>
                <w:color w:val="000000"/>
                <w:sz w:val="20"/>
                <w:szCs w:val="20"/>
              </w:rPr>
            </w:pPr>
            <w:r w:rsidRPr="00B02A32">
              <w:rPr>
                <w:rFonts w:cstheme="minorHAnsi"/>
                <w:color w:val="000000"/>
                <w:sz w:val="20"/>
                <w:szCs w:val="20"/>
              </w:rPr>
              <w:t>Expert presentations</w:t>
            </w:r>
          </w:p>
        </w:tc>
      </w:tr>
      <w:tr w:rsidR="00811F9F" w:rsidTr="00A77A90">
        <w:tc>
          <w:tcPr>
            <w:tcW w:w="567" w:type="dxa"/>
            <w:vAlign w:val="center"/>
          </w:tcPr>
          <w:p w:rsidR="00811F9F" w:rsidRPr="00F6330E" w:rsidRDefault="00811F9F" w:rsidP="00A77A90">
            <w:pPr>
              <w:rPr>
                <w:rFonts w:cstheme="minorHAnsi"/>
                <w:b/>
                <w:i/>
                <w:sz w:val="20"/>
                <w:szCs w:val="20"/>
              </w:rPr>
            </w:pPr>
            <w:r w:rsidRPr="00F6330E">
              <w:rPr>
                <w:rFonts w:cstheme="minorHAnsi"/>
                <w:b/>
                <w:i/>
                <w:sz w:val="20"/>
                <w:szCs w:val="20"/>
              </w:rPr>
              <w:t>8</w:t>
            </w:r>
          </w:p>
        </w:tc>
        <w:tc>
          <w:tcPr>
            <w:tcW w:w="3134" w:type="dxa"/>
            <w:tcBorders>
              <w:top w:val="nil"/>
              <w:left w:val="single" w:sz="4" w:space="0" w:color="auto"/>
              <w:bottom w:val="single" w:sz="4" w:space="0" w:color="auto"/>
              <w:right w:val="single" w:sz="4" w:space="0" w:color="auto"/>
            </w:tcBorders>
            <w:shd w:val="clear" w:color="000000" w:fill="FFFFFF"/>
            <w:vAlign w:val="center"/>
          </w:tcPr>
          <w:p w:rsidR="00811F9F" w:rsidRPr="00B02A32" w:rsidRDefault="00811F9F" w:rsidP="00A77A90">
            <w:pPr>
              <w:rPr>
                <w:rFonts w:cstheme="minorHAnsi"/>
                <w:color w:val="000000"/>
                <w:sz w:val="20"/>
                <w:szCs w:val="20"/>
              </w:rPr>
            </w:pPr>
            <w:r w:rsidRPr="00B02A32">
              <w:rPr>
                <w:rFonts w:cstheme="minorHAnsi"/>
                <w:color w:val="000000"/>
                <w:sz w:val="20"/>
                <w:szCs w:val="20"/>
              </w:rPr>
              <w:t xml:space="preserve">Online element over 6 months, 6 meetings, tour of geographic area up for debate, </w:t>
            </w:r>
          </w:p>
        </w:tc>
        <w:tc>
          <w:tcPr>
            <w:tcW w:w="1120" w:type="dxa"/>
            <w:tcBorders>
              <w:top w:val="nil"/>
              <w:left w:val="single" w:sz="4" w:space="0" w:color="auto"/>
              <w:bottom w:val="single" w:sz="4" w:space="0" w:color="auto"/>
              <w:right w:val="single" w:sz="4" w:space="0" w:color="auto"/>
            </w:tcBorders>
            <w:shd w:val="clear" w:color="000000" w:fill="FFFFFF"/>
            <w:vAlign w:val="center"/>
          </w:tcPr>
          <w:p w:rsidR="00811F9F" w:rsidRPr="00B02A32" w:rsidRDefault="00811F9F" w:rsidP="00A77A90">
            <w:pPr>
              <w:jc w:val="right"/>
              <w:rPr>
                <w:rFonts w:cstheme="minorHAnsi"/>
                <w:color w:val="000000"/>
                <w:sz w:val="20"/>
                <w:szCs w:val="20"/>
              </w:rPr>
            </w:pPr>
            <w:r w:rsidRPr="00B02A32">
              <w:rPr>
                <w:rFonts w:cstheme="minorHAnsi"/>
                <w:color w:val="000000"/>
                <w:sz w:val="20"/>
                <w:szCs w:val="20"/>
              </w:rPr>
              <w:t>18</w:t>
            </w:r>
          </w:p>
        </w:tc>
        <w:tc>
          <w:tcPr>
            <w:tcW w:w="1616" w:type="dxa"/>
            <w:tcBorders>
              <w:top w:val="nil"/>
              <w:left w:val="single" w:sz="4" w:space="0" w:color="auto"/>
              <w:bottom w:val="single" w:sz="4" w:space="0" w:color="auto"/>
              <w:right w:val="single" w:sz="4" w:space="0" w:color="auto"/>
            </w:tcBorders>
            <w:shd w:val="clear" w:color="000000" w:fill="FFFFFF"/>
            <w:vAlign w:val="center"/>
          </w:tcPr>
          <w:p w:rsidR="00811F9F" w:rsidRPr="00B02A32" w:rsidRDefault="00811F9F" w:rsidP="00A77A90">
            <w:pPr>
              <w:rPr>
                <w:rFonts w:cstheme="minorHAnsi"/>
                <w:color w:val="000000"/>
                <w:sz w:val="20"/>
                <w:szCs w:val="20"/>
              </w:rPr>
            </w:pPr>
            <w:r w:rsidRPr="00B02A32">
              <w:rPr>
                <w:rFonts w:cstheme="minorHAnsi"/>
                <w:color w:val="000000"/>
                <w:sz w:val="20"/>
                <w:szCs w:val="20"/>
              </w:rPr>
              <w:t>Knowledge &amp; domain experts</w:t>
            </w:r>
          </w:p>
        </w:tc>
        <w:tc>
          <w:tcPr>
            <w:tcW w:w="1308" w:type="dxa"/>
            <w:tcBorders>
              <w:top w:val="nil"/>
              <w:left w:val="single" w:sz="4" w:space="0" w:color="auto"/>
              <w:bottom w:val="single" w:sz="4" w:space="0" w:color="auto"/>
              <w:right w:val="single" w:sz="4" w:space="0" w:color="auto"/>
            </w:tcBorders>
            <w:shd w:val="clear" w:color="000000" w:fill="FFFFFF"/>
            <w:vAlign w:val="center"/>
          </w:tcPr>
          <w:p w:rsidR="00811F9F" w:rsidRPr="00B02A32" w:rsidRDefault="00811F9F" w:rsidP="00A77A90">
            <w:pPr>
              <w:rPr>
                <w:rFonts w:cstheme="minorHAnsi"/>
                <w:color w:val="000000"/>
                <w:sz w:val="20"/>
                <w:szCs w:val="20"/>
              </w:rPr>
            </w:pPr>
            <w:r w:rsidRPr="00B02A32">
              <w:rPr>
                <w:rFonts w:cstheme="minorHAnsi"/>
                <w:color w:val="000000"/>
                <w:sz w:val="20"/>
                <w:szCs w:val="20"/>
              </w:rPr>
              <w:t>Don't know</w:t>
            </w:r>
          </w:p>
        </w:tc>
        <w:tc>
          <w:tcPr>
            <w:tcW w:w="1104" w:type="dxa"/>
            <w:tcBorders>
              <w:top w:val="nil"/>
              <w:left w:val="single" w:sz="4" w:space="0" w:color="auto"/>
              <w:bottom w:val="single" w:sz="4" w:space="0" w:color="auto"/>
              <w:right w:val="single" w:sz="4" w:space="0" w:color="auto"/>
            </w:tcBorders>
            <w:shd w:val="clear" w:color="000000" w:fill="FFFFFF"/>
            <w:vAlign w:val="center"/>
          </w:tcPr>
          <w:p w:rsidR="00811F9F" w:rsidRPr="00B02A32" w:rsidRDefault="00811F9F" w:rsidP="00A77A90">
            <w:pPr>
              <w:jc w:val="right"/>
              <w:rPr>
                <w:rFonts w:cstheme="minorHAnsi"/>
                <w:color w:val="000000"/>
                <w:sz w:val="20"/>
                <w:szCs w:val="20"/>
              </w:rPr>
            </w:pPr>
            <w:r w:rsidRPr="00B02A32">
              <w:rPr>
                <w:rFonts w:cstheme="minorHAnsi"/>
                <w:color w:val="000000"/>
                <w:sz w:val="20"/>
                <w:szCs w:val="20"/>
              </w:rPr>
              <w:t>6</w:t>
            </w:r>
          </w:p>
        </w:tc>
        <w:tc>
          <w:tcPr>
            <w:tcW w:w="1925" w:type="dxa"/>
            <w:tcBorders>
              <w:top w:val="nil"/>
              <w:left w:val="single" w:sz="4" w:space="0" w:color="auto"/>
              <w:bottom w:val="single" w:sz="4" w:space="0" w:color="auto"/>
              <w:right w:val="single" w:sz="4" w:space="0" w:color="auto"/>
            </w:tcBorders>
            <w:shd w:val="clear" w:color="000000" w:fill="FFFFFF"/>
            <w:vAlign w:val="center"/>
          </w:tcPr>
          <w:p w:rsidR="00811F9F" w:rsidRPr="00B02A32" w:rsidRDefault="00811F9F" w:rsidP="00A77A90">
            <w:pPr>
              <w:rPr>
                <w:rFonts w:cstheme="minorHAnsi"/>
                <w:color w:val="000000"/>
                <w:sz w:val="20"/>
                <w:szCs w:val="20"/>
              </w:rPr>
            </w:pPr>
            <w:r w:rsidRPr="00B02A32">
              <w:rPr>
                <w:rFonts w:cstheme="minorHAnsi"/>
                <w:color w:val="000000"/>
                <w:sz w:val="20"/>
                <w:szCs w:val="20"/>
              </w:rPr>
              <w:t>Background reading (submissions from advocacy groups, etc.)</w:t>
            </w:r>
          </w:p>
        </w:tc>
      </w:tr>
      <w:tr w:rsidR="00811F9F" w:rsidTr="00F6330E">
        <w:tc>
          <w:tcPr>
            <w:tcW w:w="567" w:type="dxa"/>
            <w:shd w:val="clear" w:color="auto" w:fill="ABD9F8" w:themeFill="accent1" w:themeFillTint="66"/>
            <w:vAlign w:val="center"/>
          </w:tcPr>
          <w:p w:rsidR="00811F9F" w:rsidRPr="00F6330E" w:rsidRDefault="00811F9F" w:rsidP="00A77A90">
            <w:pPr>
              <w:rPr>
                <w:rFonts w:cstheme="minorHAnsi"/>
                <w:b/>
                <w:i/>
                <w:sz w:val="20"/>
                <w:szCs w:val="20"/>
              </w:rPr>
            </w:pPr>
            <w:r w:rsidRPr="00F6330E">
              <w:rPr>
                <w:rFonts w:cstheme="minorHAnsi"/>
                <w:b/>
                <w:i/>
                <w:sz w:val="20"/>
                <w:szCs w:val="20"/>
              </w:rPr>
              <w:t>9</w:t>
            </w:r>
          </w:p>
        </w:tc>
        <w:tc>
          <w:tcPr>
            <w:tcW w:w="3134" w:type="dxa"/>
            <w:tcBorders>
              <w:top w:val="nil"/>
              <w:left w:val="single" w:sz="4" w:space="0" w:color="auto"/>
              <w:bottom w:val="single" w:sz="4" w:space="0" w:color="auto"/>
              <w:right w:val="single" w:sz="4" w:space="0" w:color="auto"/>
            </w:tcBorders>
            <w:shd w:val="clear" w:color="auto" w:fill="ABD9F8" w:themeFill="accent1" w:themeFillTint="66"/>
            <w:vAlign w:val="center"/>
          </w:tcPr>
          <w:p w:rsidR="00811F9F" w:rsidRPr="00B02A32" w:rsidRDefault="00811F9F" w:rsidP="00A77A90">
            <w:pPr>
              <w:rPr>
                <w:rFonts w:cstheme="minorHAnsi"/>
                <w:color w:val="000000"/>
                <w:sz w:val="20"/>
                <w:szCs w:val="20"/>
              </w:rPr>
            </w:pPr>
            <w:r w:rsidRPr="00B02A32">
              <w:rPr>
                <w:rFonts w:cstheme="minorHAnsi"/>
                <w:color w:val="000000"/>
                <w:sz w:val="20"/>
                <w:szCs w:val="20"/>
              </w:rPr>
              <w:t xml:space="preserve">Preparatory briefing material submitted by advocacy groups, etc. </w:t>
            </w:r>
          </w:p>
        </w:tc>
        <w:tc>
          <w:tcPr>
            <w:tcW w:w="1120" w:type="dxa"/>
            <w:tcBorders>
              <w:top w:val="nil"/>
              <w:left w:val="single" w:sz="4" w:space="0" w:color="auto"/>
              <w:bottom w:val="single" w:sz="4" w:space="0" w:color="auto"/>
              <w:right w:val="single" w:sz="4" w:space="0" w:color="auto"/>
            </w:tcBorders>
            <w:shd w:val="clear" w:color="auto" w:fill="ABD9F8" w:themeFill="accent1" w:themeFillTint="66"/>
            <w:vAlign w:val="center"/>
          </w:tcPr>
          <w:p w:rsidR="00811F9F" w:rsidRPr="00B02A32" w:rsidRDefault="00811F9F" w:rsidP="00A77A90">
            <w:pPr>
              <w:jc w:val="right"/>
              <w:rPr>
                <w:rFonts w:cstheme="minorHAnsi"/>
                <w:color w:val="000000"/>
                <w:sz w:val="20"/>
                <w:szCs w:val="20"/>
              </w:rPr>
            </w:pPr>
            <w:r w:rsidRPr="00B02A32">
              <w:rPr>
                <w:rFonts w:cstheme="minorHAnsi"/>
                <w:color w:val="000000"/>
                <w:sz w:val="20"/>
                <w:szCs w:val="20"/>
              </w:rPr>
              <w:t>9+</w:t>
            </w:r>
          </w:p>
        </w:tc>
        <w:tc>
          <w:tcPr>
            <w:tcW w:w="1616" w:type="dxa"/>
            <w:tcBorders>
              <w:top w:val="nil"/>
              <w:left w:val="single" w:sz="4" w:space="0" w:color="auto"/>
              <w:bottom w:val="single" w:sz="4" w:space="0" w:color="auto"/>
              <w:right w:val="single" w:sz="4" w:space="0" w:color="auto"/>
            </w:tcBorders>
            <w:shd w:val="clear" w:color="auto" w:fill="ABD9F8" w:themeFill="accent1" w:themeFillTint="66"/>
            <w:vAlign w:val="center"/>
          </w:tcPr>
          <w:p w:rsidR="00811F9F" w:rsidRPr="00B02A32" w:rsidRDefault="00811F9F" w:rsidP="00A77A90">
            <w:pPr>
              <w:rPr>
                <w:rFonts w:cstheme="minorHAnsi"/>
                <w:color w:val="000000"/>
                <w:sz w:val="20"/>
                <w:szCs w:val="20"/>
              </w:rPr>
            </w:pPr>
            <w:r w:rsidRPr="00B02A32">
              <w:rPr>
                <w:rFonts w:cstheme="minorHAnsi"/>
                <w:color w:val="000000"/>
                <w:sz w:val="20"/>
                <w:szCs w:val="20"/>
              </w:rPr>
              <w:t>Knowledge &amp; domain experts</w:t>
            </w:r>
          </w:p>
        </w:tc>
        <w:tc>
          <w:tcPr>
            <w:tcW w:w="1308" w:type="dxa"/>
            <w:tcBorders>
              <w:top w:val="nil"/>
              <w:left w:val="single" w:sz="4" w:space="0" w:color="auto"/>
              <w:bottom w:val="single" w:sz="4" w:space="0" w:color="auto"/>
              <w:right w:val="single" w:sz="4" w:space="0" w:color="auto"/>
            </w:tcBorders>
            <w:shd w:val="clear" w:color="auto" w:fill="ABD9F8" w:themeFill="accent1" w:themeFillTint="66"/>
            <w:vAlign w:val="center"/>
          </w:tcPr>
          <w:p w:rsidR="00811F9F" w:rsidRPr="00B02A32" w:rsidRDefault="00811F9F" w:rsidP="00A77A90">
            <w:pPr>
              <w:rPr>
                <w:rFonts w:cstheme="minorHAnsi"/>
                <w:color w:val="000000"/>
                <w:sz w:val="20"/>
                <w:szCs w:val="20"/>
              </w:rPr>
            </w:pPr>
            <w:r w:rsidRPr="00B02A32">
              <w:rPr>
                <w:rFonts w:cstheme="minorHAnsi"/>
                <w:color w:val="000000"/>
                <w:sz w:val="20"/>
                <w:szCs w:val="20"/>
              </w:rPr>
              <w:t>Don't know</w:t>
            </w:r>
          </w:p>
        </w:tc>
        <w:tc>
          <w:tcPr>
            <w:tcW w:w="1104" w:type="dxa"/>
            <w:tcBorders>
              <w:top w:val="nil"/>
              <w:left w:val="single" w:sz="4" w:space="0" w:color="auto"/>
              <w:bottom w:val="single" w:sz="4" w:space="0" w:color="auto"/>
              <w:right w:val="single" w:sz="4" w:space="0" w:color="auto"/>
            </w:tcBorders>
            <w:shd w:val="clear" w:color="auto" w:fill="ABD9F8" w:themeFill="accent1" w:themeFillTint="66"/>
            <w:vAlign w:val="center"/>
          </w:tcPr>
          <w:p w:rsidR="00811F9F" w:rsidRPr="00B02A32" w:rsidRDefault="00811F9F" w:rsidP="00A77A90">
            <w:pPr>
              <w:jc w:val="right"/>
              <w:rPr>
                <w:rFonts w:cstheme="minorHAnsi"/>
                <w:color w:val="000000"/>
                <w:sz w:val="20"/>
                <w:szCs w:val="20"/>
              </w:rPr>
            </w:pPr>
            <w:r w:rsidRPr="00B02A32">
              <w:rPr>
                <w:rFonts w:cstheme="minorHAnsi"/>
                <w:color w:val="000000"/>
                <w:sz w:val="20"/>
                <w:szCs w:val="20"/>
              </w:rPr>
              <w:t>5</w:t>
            </w:r>
          </w:p>
        </w:tc>
        <w:tc>
          <w:tcPr>
            <w:tcW w:w="1925" w:type="dxa"/>
            <w:tcBorders>
              <w:top w:val="nil"/>
              <w:left w:val="single" w:sz="4" w:space="0" w:color="auto"/>
              <w:bottom w:val="single" w:sz="4" w:space="0" w:color="auto"/>
              <w:right w:val="single" w:sz="4" w:space="0" w:color="auto"/>
            </w:tcBorders>
            <w:shd w:val="clear" w:color="auto" w:fill="ABD9F8" w:themeFill="accent1" w:themeFillTint="66"/>
            <w:vAlign w:val="center"/>
          </w:tcPr>
          <w:p w:rsidR="00811F9F" w:rsidRPr="00B02A32" w:rsidRDefault="00811F9F" w:rsidP="00A77A90">
            <w:pPr>
              <w:rPr>
                <w:rFonts w:cstheme="minorHAnsi"/>
                <w:color w:val="000000"/>
                <w:sz w:val="20"/>
                <w:szCs w:val="20"/>
              </w:rPr>
            </w:pPr>
            <w:r w:rsidRPr="00B02A32">
              <w:rPr>
                <w:rFonts w:cstheme="minorHAnsi"/>
                <w:color w:val="000000"/>
                <w:sz w:val="20"/>
                <w:szCs w:val="20"/>
              </w:rPr>
              <w:t>Background reading from voluntary submissions, questions to expert witnesses</w:t>
            </w:r>
          </w:p>
        </w:tc>
      </w:tr>
      <w:tr w:rsidR="00811F9F" w:rsidTr="00A77A90">
        <w:tc>
          <w:tcPr>
            <w:tcW w:w="567" w:type="dxa"/>
            <w:vAlign w:val="center"/>
          </w:tcPr>
          <w:p w:rsidR="00811F9F" w:rsidRPr="00F6330E" w:rsidRDefault="00811F9F" w:rsidP="00A77A90">
            <w:pPr>
              <w:rPr>
                <w:rFonts w:cstheme="minorHAnsi"/>
                <w:b/>
                <w:i/>
                <w:sz w:val="20"/>
                <w:szCs w:val="20"/>
              </w:rPr>
            </w:pPr>
            <w:r w:rsidRPr="00F6330E">
              <w:rPr>
                <w:rFonts w:cstheme="minorHAnsi"/>
                <w:b/>
                <w:i/>
                <w:sz w:val="20"/>
                <w:szCs w:val="20"/>
              </w:rPr>
              <w:t>10</w:t>
            </w:r>
          </w:p>
        </w:tc>
        <w:tc>
          <w:tcPr>
            <w:tcW w:w="3134" w:type="dxa"/>
            <w:tcBorders>
              <w:top w:val="nil"/>
              <w:left w:val="single" w:sz="4" w:space="0" w:color="auto"/>
              <w:bottom w:val="single" w:sz="4" w:space="0" w:color="auto"/>
              <w:right w:val="single" w:sz="4" w:space="0" w:color="auto"/>
            </w:tcBorders>
            <w:shd w:val="clear" w:color="auto" w:fill="auto"/>
            <w:vAlign w:val="center"/>
          </w:tcPr>
          <w:p w:rsidR="00811F9F" w:rsidRPr="00B02A32" w:rsidRDefault="00811F9F" w:rsidP="00A77A90">
            <w:pPr>
              <w:rPr>
                <w:rFonts w:cstheme="minorHAnsi"/>
                <w:color w:val="000000"/>
                <w:sz w:val="20"/>
                <w:szCs w:val="20"/>
              </w:rPr>
            </w:pPr>
            <w:r w:rsidRPr="00B02A32">
              <w:rPr>
                <w:rFonts w:cstheme="minorHAnsi"/>
                <w:color w:val="000000"/>
                <w:sz w:val="20"/>
                <w:szCs w:val="20"/>
              </w:rPr>
              <w:t>Electronic polls, expert presentations, deliberation</w:t>
            </w:r>
          </w:p>
        </w:tc>
        <w:tc>
          <w:tcPr>
            <w:tcW w:w="1120" w:type="dxa"/>
            <w:tcBorders>
              <w:top w:val="nil"/>
              <w:left w:val="single" w:sz="4" w:space="0" w:color="auto"/>
              <w:bottom w:val="single" w:sz="4" w:space="0" w:color="auto"/>
              <w:right w:val="single" w:sz="4" w:space="0" w:color="auto"/>
            </w:tcBorders>
            <w:shd w:val="clear" w:color="auto" w:fill="auto"/>
            <w:vAlign w:val="center"/>
          </w:tcPr>
          <w:p w:rsidR="00811F9F" w:rsidRPr="00B02A32" w:rsidRDefault="00811F9F" w:rsidP="00A77A90">
            <w:pPr>
              <w:jc w:val="right"/>
              <w:rPr>
                <w:rFonts w:cstheme="minorHAnsi"/>
                <w:color w:val="000000"/>
                <w:sz w:val="20"/>
                <w:szCs w:val="20"/>
              </w:rPr>
            </w:pPr>
            <w:r w:rsidRPr="00B02A32">
              <w:rPr>
                <w:rFonts w:cstheme="minorHAnsi"/>
                <w:color w:val="000000"/>
                <w:sz w:val="20"/>
                <w:szCs w:val="20"/>
              </w:rPr>
              <w:t>4+</w:t>
            </w:r>
          </w:p>
        </w:tc>
        <w:tc>
          <w:tcPr>
            <w:tcW w:w="1616" w:type="dxa"/>
            <w:tcBorders>
              <w:top w:val="nil"/>
              <w:left w:val="single" w:sz="4" w:space="0" w:color="auto"/>
              <w:bottom w:val="single" w:sz="4" w:space="0" w:color="auto"/>
              <w:right w:val="single" w:sz="4" w:space="0" w:color="auto"/>
            </w:tcBorders>
            <w:shd w:val="clear" w:color="auto" w:fill="auto"/>
            <w:vAlign w:val="center"/>
          </w:tcPr>
          <w:p w:rsidR="00811F9F" w:rsidRPr="00B02A32" w:rsidRDefault="00811F9F" w:rsidP="00A77A90">
            <w:pPr>
              <w:rPr>
                <w:rFonts w:cstheme="minorHAnsi"/>
                <w:color w:val="000000"/>
                <w:sz w:val="20"/>
                <w:szCs w:val="20"/>
              </w:rPr>
            </w:pPr>
            <w:r w:rsidRPr="00B02A32">
              <w:rPr>
                <w:rFonts w:cstheme="minorHAnsi"/>
                <w:color w:val="000000"/>
                <w:sz w:val="20"/>
                <w:szCs w:val="20"/>
              </w:rPr>
              <w:t>Facilitators and knowledge experts</w:t>
            </w:r>
          </w:p>
        </w:tc>
        <w:tc>
          <w:tcPr>
            <w:tcW w:w="1308" w:type="dxa"/>
            <w:tcBorders>
              <w:top w:val="nil"/>
              <w:left w:val="single" w:sz="4" w:space="0" w:color="auto"/>
              <w:bottom w:val="single" w:sz="4" w:space="0" w:color="auto"/>
              <w:right w:val="single" w:sz="4" w:space="0" w:color="auto"/>
            </w:tcBorders>
            <w:shd w:val="clear" w:color="auto" w:fill="auto"/>
            <w:vAlign w:val="center"/>
          </w:tcPr>
          <w:p w:rsidR="00811F9F" w:rsidRPr="00B02A32" w:rsidRDefault="00811F9F" w:rsidP="00A77A90">
            <w:pPr>
              <w:rPr>
                <w:rFonts w:cstheme="minorHAnsi"/>
                <w:color w:val="000000"/>
                <w:sz w:val="20"/>
                <w:szCs w:val="20"/>
              </w:rPr>
            </w:pPr>
            <w:r w:rsidRPr="00B02A32">
              <w:rPr>
                <w:rFonts w:cstheme="minorHAnsi"/>
                <w:color w:val="000000"/>
                <w:sz w:val="20"/>
                <w:szCs w:val="20"/>
              </w:rPr>
              <w:t>Mini-public organisers</w:t>
            </w:r>
          </w:p>
        </w:tc>
        <w:tc>
          <w:tcPr>
            <w:tcW w:w="1104" w:type="dxa"/>
            <w:tcBorders>
              <w:top w:val="nil"/>
              <w:left w:val="single" w:sz="4" w:space="0" w:color="auto"/>
              <w:bottom w:val="single" w:sz="4" w:space="0" w:color="auto"/>
              <w:right w:val="single" w:sz="4" w:space="0" w:color="auto"/>
            </w:tcBorders>
            <w:shd w:val="clear" w:color="auto" w:fill="auto"/>
            <w:vAlign w:val="center"/>
          </w:tcPr>
          <w:p w:rsidR="00811F9F" w:rsidRPr="00B02A32" w:rsidRDefault="00811F9F" w:rsidP="00A77A90">
            <w:pPr>
              <w:jc w:val="right"/>
              <w:rPr>
                <w:rFonts w:cstheme="minorHAnsi"/>
                <w:color w:val="000000"/>
                <w:sz w:val="20"/>
                <w:szCs w:val="20"/>
              </w:rPr>
            </w:pPr>
            <w:r w:rsidRPr="00B02A32">
              <w:rPr>
                <w:rFonts w:cstheme="minorHAnsi"/>
                <w:color w:val="000000"/>
                <w:sz w:val="20"/>
                <w:szCs w:val="20"/>
              </w:rPr>
              <w:t>1</w:t>
            </w:r>
          </w:p>
        </w:tc>
        <w:tc>
          <w:tcPr>
            <w:tcW w:w="1925" w:type="dxa"/>
            <w:tcBorders>
              <w:top w:val="nil"/>
              <w:left w:val="single" w:sz="4" w:space="0" w:color="auto"/>
              <w:bottom w:val="single" w:sz="4" w:space="0" w:color="auto"/>
              <w:right w:val="single" w:sz="4" w:space="0" w:color="auto"/>
            </w:tcBorders>
            <w:shd w:val="clear" w:color="auto" w:fill="auto"/>
            <w:vAlign w:val="center"/>
          </w:tcPr>
          <w:p w:rsidR="00811F9F" w:rsidRPr="00B02A32" w:rsidRDefault="00811F9F" w:rsidP="00A77A90">
            <w:pPr>
              <w:rPr>
                <w:rFonts w:cstheme="minorHAnsi"/>
                <w:color w:val="000000"/>
                <w:sz w:val="20"/>
                <w:szCs w:val="20"/>
              </w:rPr>
            </w:pPr>
            <w:r w:rsidRPr="00B02A32">
              <w:rPr>
                <w:rFonts w:cstheme="minorHAnsi"/>
                <w:color w:val="000000"/>
                <w:sz w:val="20"/>
                <w:szCs w:val="20"/>
              </w:rPr>
              <w:t>Expert presentations</w:t>
            </w:r>
          </w:p>
        </w:tc>
      </w:tr>
      <w:tr w:rsidR="00811F9F" w:rsidTr="00F6330E">
        <w:tc>
          <w:tcPr>
            <w:tcW w:w="567" w:type="dxa"/>
            <w:shd w:val="clear" w:color="auto" w:fill="ABD9F8" w:themeFill="accent1" w:themeFillTint="66"/>
            <w:vAlign w:val="center"/>
          </w:tcPr>
          <w:p w:rsidR="00811F9F" w:rsidRPr="00F6330E" w:rsidRDefault="00811F9F" w:rsidP="00A77A90">
            <w:pPr>
              <w:rPr>
                <w:rFonts w:cstheme="minorHAnsi"/>
                <w:b/>
                <w:i/>
                <w:sz w:val="20"/>
                <w:szCs w:val="20"/>
              </w:rPr>
            </w:pPr>
            <w:r w:rsidRPr="00F6330E">
              <w:rPr>
                <w:rFonts w:cstheme="minorHAnsi"/>
                <w:b/>
                <w:i/>
                <w:sz w:val="20"/>
                <w:szCs w:val="20"/>
              </w:rPr>
              <w:t>11</w:t>
            </w:r>
          </w:p>
        </w:tc>
        <w:tc>
          <w:tcPr>
            <w:tcW w:w="3134" w:type="dxa"/>
            <w:tcBorders>
              <w:top w:val="nil"/>
              <w:left w:val="single" w:sz="4" w:space="0" w:color="auto"/>
              <w:bottom w:val="single" w:sz="4" w:space="0" w:color="auto"/>
              <w:right w:val="single" w:sz="4" w:space="0" w:color="auto"/>
            </w:tcBorders>
            <w:shd w:val="clear" w:color="auto" w:fill="ABD9F8" w:themeFill="accent1" w:themeFillTint="66"/>
            <w:vAlign w:val="center"/>
          </w:tcPr>
          <w:p w:rsidR="00811F9F" w:rsidRPr="00B02A32" w:rsidRDefault="00811F9F" w:rsidP="00A77A90">
            <w:pPr>
              <w:rPr>
                <w:rFonts w:cstheme="minorHAnsi"/>
                <w:color w:val="000000"/>
                <w:sz w:val="20"/>
                <w:szCs w:val="20"/>
              </w:rPr>
            </w:pPr>
            <w:r w:rsidRPr="00B02A32">
              <w:rPr>
                <w:rFonts w:cstheme="minorHAnsi"/>
                <w:color w:val="000000"/>
                <w:sz w:val="20"/>
                <w:szCs w:val="20"/>
              </w:rPr>
              <w:t>Speed dialogue, deliberation</w:t>
            </w:r>
          </w:p>
        </w:tc>
        <w:tc>
          <w:tcPr>
            <w:tcW w:w="1120" w:type="dxa"/>
            <w:tcBorders>
              <w:top w:val="nil"/>
              <w:left w:val="single" w:sz="4" w:space="0" w:color="auto"/>
              <w:bottom w:val="single" w:sz="4" w:space="0" w:color="auto"/>
              <w:right w:val="single" w:sz="4" w:space="0" w:color="auto"/>
            </w:tcBorders>
            <w:shd w:val="clear" w:color="auto" w:fill="ABD9F8" w:themeFill="accent1" w:themeFillTint="66"/>
            <w:vAlign w:val="center"/>
          </w:tcPr>
          <w:p w:rsidR="00811F9F" w:rsidRPr="00B02A32" w:rsidRDefault="00811F9F" w:rsidP="00A77A90">
            <w:pPr>
              <w:jc w:val="right"/>
              <w:rPr>
                <w:rFonts w:cstheme="minorHAnsi"/>
                <w:color w:val="000000"/>
                <w:sz w:val="20"/>
                <w:szCs w:val="20"/>
              </w:rPr>
            </w:pPr>
            <w:r w:rsidRPr="00B02A32">
              <w:rPr>
                <w:rFonts w:cstheme="minorHAnsi"/>
                <w:color w:val="000000"/>
                <w:sz w:val="20"/>
                <w:szCs w:val="20"/>
              </w:rPr>
              <w:t>4+</w:t>
            </w:r>
          </w:p>
        </w:tc>
        <w:tc>
          <w:tcPr>
            <w:tcW w:w="1616" w:type="dxa"/>
            <w:tcBorders>
              <w:top w:val="nil"/>
              <w:left w:val="single" w:sz="4" w:space="0" w:color="auto"/>
              <w:bottom w:val="single" w:sz="4" w:space="0" w:color="auto"/>
              <w:right w:val="single" w:sz="4" w:space="0" w:color="auto"/>
            </w:tcBorders>
            <w:shd w:val="clear" w:color="auto" w:fill="ABD9F8" w:themeFill="accent1" w:themeFillTint="66"/>
            <w:vAlign w:val="center"/>
          </w:tcPr>
          <w:p w:rsidR="00811F9F" w:rsidRPr="00B02A32" w:rsidRDefault="00811F9F" w:rsidP="00A77A90">
            <w:pPr>
              <w:rPr>
                <w:rFonts w:cstheme="minorHAnsi"/>
                <w:color w:val="000000"/>
                <w:sz w:val="20"/>
                <w:szCs w:val="20"/>
              </w:rPr>
            </w:pPr>
            <w:r w:rsidRPr="00B02A32">
              <w:rPr>
                <w:rFonts w:cstheme="minorHAnsi"/>
                <w:color w:val="000000"/>
                <w:sz w:val="20"/>
                <w:szCs w:val="20"/>
              </w:rPr>
              <w:t>Facilitators and knowledge experts</w:t>
            </w:r>
          </w:p>
        </w:tc>
        <w:tc>
          <w:tcPr>
            <w:tcW w:w="1308" w:type="dxa"/>
            <w:tcBorders>
              <w:top w:val="nil"/>
              <w:left w:val="single" w:sz="4" w:space="0" w:color="auto"/>
              <w:bottom w:val="single" w:sz="4" w:space="0" w:color="auto"/>
              <w:right w:val="single" w:sz="4" w:space="0" w:color="auto"/>
            </w:tcBorders>
            <w:shd w:val="clear" w:color="auto" w:fill="ABD9F8" w:themeFill="accent1" w:themeFillTint="66"/>
            <w:vAlign w:val="center"/>
          </w:tcPr>
          <w:p w:rsidR="00811F9F" w:rsidRPr="00B02A32" w:rsidRDefault="00811F9F" w:rsidP="00A77A90">
            <w:pPr>
              <w:rPr>
                <w:rFonts w:cstheme="minorHAnsi"/>
                <w:color w:val="000000"/>
                <w:sz w:val="20"/>
                <w:szCs w:val="20"/>
              </w:rPr>
            </w:pPr>
            <w:r w:rsidRPr="00B02A32">
              <w:rPr>
                <w:rFonts w:cstheme="minorHAnsi"/>
                <w:color w:val="000000"/>
                <w:sz w:val="20"/>
                <w:szCs w:val="20"/>
              </w:rPr>
              <w:t>Don't know</w:t>
            </w:r>
          </w:p>
        </w:tc>
        <w:tc>
          <w:tcPr>
            <w:tcW w:w="1104" w:type="dxa"/>
            <w:tcBorders>
              <w:top w:val="nil"/>
              <w:left w:val="single" w:sz="4" w:space="0" w:color="auto"/>
              <w:bottom w:val="single" w:sz="4" w:space="0" w:color="auto"/>
              <w:right w:val="single" w:sz="4" w:space="0" w:color="auto"/>
            </w:tcBorders>
            <w:shd w:val="clear" w:color="auto" w:fill="ABD9F8" w:themeFill="accent1" w:themeFillTint="66"/>
            <w:vAlign w:val="center"/>
          </w:tcPr>
          <w:p w:rsidR="00811F9F" w:rsidRPr="00B02A32" w:rsidRDefault="00811F9F" w:rsidP="00A77A90">
            <w:pPr>
              <w:jc w:val="right"/>
              <w:rPr>
                <w:rFonts w:cstheme="minorHAnsi"/>
                <w:color w:val="000000"/>
                <w:sz w:val="20"/>
                <w:szCs w:val="20"/>
              </w:rPr>
            </w:pPr>
            <w:r w:rsidRPr="00B02A32">
              <w:rPr>
                <w:rFonts w:cstheme="minorHAnsi"/>
                <w:color w:val="000000"/>
                <w:sz w:val="20"/>
                <w:szCs w:val="20"/>
              </w:rPr>
              <w:t>2</w:t>
            </w:r>
          </w:p>
        </w:tc>
        <w:tc>
          <w:tcPr>
            <w:tcW w:w="1925" w:type="dxa"/>
            <w:tcBorders>
              <w:top w:val="nil"/>
              <w:left w:val="single" w:sz="4" w:space="0" w:color="auto"/>
              <w:bottom w:val="single" w:sz="4" w:space="0" w:color="auto"/>
              <w:right w:val="single" w:sz="4" w:space="0" w:color="auto"/>
            </w:tcBorders>
            <w:shd w:val="clear" w:color="auto" w:fill="ABD9F8" w:themeFill="accent1" w:themeFillTint="66"/>
            <w:vAlign w:val="center"/>
          </w:tcPr>
          <w:p w:rsidR="00811F9F" w:rsidRPr="00B02A32" w:rsidRDefault="00811F9F" w:rsidP="00A77A90">
            <w:pPr>
              <w:rPr>
                <w:rFonts w:cstheme="minorHAnsi"/>
                <w:color w:val="000000"/>
                <w:sz w:val="20"/>
                <w:szCs w:val="20"/>
              </w:rPr>
            </w:pPr>
            <w:r w:rsidRPr="00B02A32">
              <w:rPr>
                <w:rFonts w:cstheme="minorHAnsi"/>
                <w:color w:val="000000"/>
                <w:sz w:val="20"/>
                <w:szCs w:val="20"/>
              </w:rPr>
              <w:t>Expert interactions</w:t>
            </w:r>
          </w:p>
        </w:tc>
      </w:tr>
      <w:tr w:rsidR="00811F9F" w:rsidTr="00A77A90">
        <w:tc>
          <w:tcPr>
            <w:tcW w:w="567" w:type="dxa"/>
          </w:tcPr>
          <w:p w:rsidR="00811F9F" w:rsidRPr="00F6330E" w:rsidRDefault="00811F9F" w:rsidP="00A77A90">
            <w:pPr>
              <w:rPr>
                <w:rFonts w:cstheme="minorHAnsi"/>
                <w:b/>
                <w:i/>
                <w:sz w:val="20"/>
                <w:szCs w:val="20"/>
              </w:rPr>
            </w:pPr>
            <w:r w:rsidRPr="00F6330E">
              <w:rPr>
                <w:rFonts w:cstheme="minorHAnsi"/>
                <w:b/>
                <w:i/>
                <w:sz w:val="20"/>
                <w:szCs w:val="20"/>
              </w:rPr>
              <w:t>12</w:t>
            </w:r>
          </w:p>
        </w:tc>
        <w:tc>
          <w:tcPr>
            <w:tcW w:w="3134" w:type="dxa"/>
            <w:tcBorders>
              <w:top w:val="nil"/>
              <w:left w:val="single" w:sz="4" w:space="0" w:color="auto"/>
              <w:bottom w:val="single" w:sz="4" w:space="0" w:color="auto"/>
              <w:right w:val="single" w:sz="4" w:space="0" w:color="auto"/>
            </w:tcBorders>
            <w:shd w:val="clear" w:color="auto" w:fill="auto"/>
            <w:vAlign w:val="center"/>
          </w:tcPr>
          <w:p w:rsidR="00811F9F" w:rsidRPr="00B02A32" w:rsidRDefault="00811F9F" w:rsidP="00A77A90">
            <w:pPr>
              <w:rPr>
                <w:rFonts w:cstheme="minorHAnsi"/>
                <w:color w:val="000000"/>
                <w:sz w:val="20"/>
                <w:szCs w:val="20"/>
              </w:rPr>
            </w:pPr>
            <w:r w:rsidRPr="00B02A32">
              <w:rPr>
                <w:rFonts w:cstheme="minorHAnsi"/>
                <w:color w:val="000000"/>
                <w:sz w:val="20"/>
                <w:szCs w:val="20"/>
              </w:rPr>
              <w:t>Preparatory workshops, ice-breaker activities, expert presentations, deliberation</w:t>
            </w:r>
          </w:p>
        </w:tc>
        <w:tc>
          <w:tcPr>
            <w:tcW w:w="1120" w:type="dxa"/>
            <w:tcBorders>
              <w:top w:val="nil"/>
              <w:left w:val="single" w:sz="4" w:space="0" w:color="auto"/>
              <w:bottom w:val="single" w:sz="4" w:space="0" w:color="auto"/>
              <w:right w:val="single" w:sz="4" w:space="0" w:color="auto"/>
            </w:tcBorders>
            <w:shd w:val="clear" w:color="auto" w:fill="auto"/>
            <w:vAlign w:val="center"/>
          </w:tcPr>
          <w:p w:rsidR="00811F9F" w:rsidRPr="00B02A32" w:rsidRDefault="00811F9F" w:rsidP="00A77A90">
            <w:pPr>
              <w:jc w:val="right"/>
              <w:rPr>
                <w:rFonts w:cstheme="minorHAnsi"/>
                <w:color w:val="000000"/>
                <w:sz w:val="20"/>
                <w:szCs w:val="20"/>
              </w:rPr>
            </w:pPr>
            <w:r w:rsidRPr="00B02A32">
              <w:rPr>
                <w:rFonts w:cstheme="minorHAnsi"/>
                <w:color w:val="000000"/>
                <w:sz w:val="20"/>
                <w:szCs w:val="20"/>
              </w:rPr>
              <w:t>2+</w:t>
            </w:r>
          </w:p>
        </w:tc>
        <w:tc>
          <w:tcPr>
            <w:tcW w:w="1616" w:type="dxa"/>
            <w:tcBorders>
              <w:top w:val="nil"/>
              <w:left w:val="single" w:sz="4" w:space="0" w:color="auto"/>
              <w:bottom w:val="single" w:sz="4" w:space="0" w:color="auto"/>
              <w:right w:val="single" w:sz="4" w:space="0" w:color="auto"/>
            </w:tcBorders>
            <w:shd w:val="clear" w:color="auto" w:fill="auto"/>
            <w:vAlign w:val="center"/>
          </w:tcPr>
          <w:p w:rsidR="00811F9F" w:rsidRPr="00B02A32" w:rsidRDefault="00811F9F" w:rsidP="00A77A90">
            <w:pPr>
              <w:rPr>
                <w:rFonts w:cstheme="minorHAnsi"/>
                <w:color w:val="000000"/>
                <w:sz w:val="20"/>
                <w:szCs w:val="20"/>
              </w:rPr>
            </w:pPr>
            <w:r w:rsidRPr="00B02A32">
              <w:rPr>
                <w:rFonts w:cstheme="minorHAnsi"/>
                <w:color w:val="000000"/>
                <w:sz w:val="20"/>
                <w:szCs w:val="20"/>
              </w:rPr>
              <w:t>Facilitators and knowledge experts</w:t>
            </w:r>
          </w:p>
        </w:tc>
        <w:tc>
          <w:tcPr>
            <w:tcW w:w="1308" w:type="dxa"/>
            <w:tcBorders>
              <w:top w:val="nil"/>
              <w:left w:val="single" w:sz="4" w:space="0" w:color="auto"/>
              <w:bottom w:val="single" w:sz="4" w:space="0" w:color="auto"/>
              <w:right w:val="single" w:sz="4" w:space="0" w:color="auto"/>
            </w:tcBorders>
            <w:shd w:val="clear" w:color="auto" w:fill="auto"/>
            <w:vAlign w:val="center"/>
          </w:tcPr>
          <w:p w:rsidR="00811F9F" w:rsidRPr="00B02A32" w:rsidRDefault="00811F9F" w:rsidP="00A77A90">
            <w:pPr>
              <w:rPr>
                <w:rFonts w:cstheme="minorHAnsi"/>
                <w:color w:val="000000"/>
                <w:sz w:val="20"/>
                <w:szCs w:val="20"/>
              </w:rPr>
            </w:pPr>
            <w:r w:rsidRPr="00B02A32">
              <w:rPr>
                <w:rFonts w:cstheme="minorHAnsi"/>
                <w:color w:val="000000"/>
                <w:sz w:val="20"/>
                <w:szCs w:val="20"/>
              </w:rPr>
              <w:t>Don't know</w:t>
            </w:r>
          </w:p>
        </w:tc>
        <w:tc>
          <w:tcPr>
            <w:tcW w:w="1104" w:type="dxa"/>
            <w:tcBorders>
              <w:top w:val="nil"/>
              <w:left w:val="single" w:sz="4" w:space="0" w:color="auto"/>
              <w:bottom w:val="single" w:sz="4" w:space="0" w:color="auto"/>
              <w:right w:val="single" w:sz="4" w:space="0" w:color="auto"/>
            </w:tcBorders>
            <w:shd w:val="clear" w:color="auto" w:fill="auto"/>
            <w:vAlign w:val="center"/>
          </w:tcPr>
          <w:p w:rsidR="00811F9F" w:rsidRPr="00B02A32" w:rsidRDefault="00811F9F" w:rsidP="00A77A90">
            <w:pPr>
              <w:jc w:val="right"/>
              <w:rPr>
                <w:rFonts w:cstheme="minorHAnsi"/>
                <w:color w:val="000000"/>
                <w:sz w:val="20"/>
                <w:szCs w:val="20"/>
              </w:rPr>
            </w:pPr>
            <w:r w:rsidRPr="00B02A32">
              <w:rPr>
                <w:rFonts w:cstheme="minorHAnsi"/>
                <w:color w:val="000000"/>
                <w:sz w:val="20"/>
                <w:szCs w:val="20"/>
              </w:rPr>
              <w:t>2</w:t>
            </w:r>
          </w:p>
        </w:tc>
        <w:tc>
          <w:tcPr>
            <w:tcW w:w="1925" w:type="dxa"/>
            <w:tcBorders>
              <w:top w:val="nil"/>
              <w:left w:val="single" w:sz="4" w:space="0" w:color="auto"/>
              <w:bottom w:val="single" w:sz="4" w:space="0" w:color="auto"/>
              <w:right w:val="single" w:sz="4" w:space="0" w:color="auto"/>
            </w:tcBorders>
            <w:shd w:val="clear" w:color="auto" w:fill="auto"/>
            <w:vAlign w:val="center"/>
          </w:tcPr>
          <w:p w:rsidR="00811F9F" w:rsidRPr="00B02A32" w:rsidRDefault="00811F9F" w:rsidP="00A77A90">
            <w:pPr>
              <w:rPr>
                <w:rFonts w:cstheme="minorHAnsi"/>
                <w:color w:val="000000"/>
                <w:sz w:val="20"/>
                <w:szCs w:val="20"/>
              </w:rPr>
            </w:pPr>
            <w:r w:rsidRPr="00B02A32">
              <w:rPr>
                <w:rFonts w:cstheme="minorHAnsi"/>
                <w:color w:val="000000"/>
                <w:sz w:val="20"/>
                <w:szCs w:val="20"/>
              </w:rPr>
              <w:t>Expert presentations</w:t>
            </w:r>
          </w:p>
        </w:tc>
      </w:tr>
      <w:tr w:rsidR="00811F9F" w:rsidTr="00F6330E">
        <w:tc>
          <w:tcPr>
            <w:tcW w:w="567" w:type="dxa"/>
            <w:shd w:val="clear" w:color="auto" w:fill="ABD9F8" w:themeFill="accent1" w:themeFillTint="66"/>
          </w:tcPr>
          <w:p w:rsidR="00811F9F" w:rsidRPr="00F6330E" w:rsidRDefault="00811F9F" w:rsidP="00A77A90">
            <w:pPr>
              <w:rPr>
                <w:rFonts w:cstheme="minorHAnsi"/>
                <w:b/>
                <w:i/>
                <w:sz w:val="20"/>
                <w:szCs w:val="20"/>
              </w:rPr>
            </w:pPr>
            <w:r w:rsidRPr="00F6330E">
              <w:rPr>
                <w:rFonts w:cstheme="minorHAnsi"/>
                <w:b/>
                <w:i/>
                <w:sz w:val="20"/>
                <w:szCs w:val="20"/>
              </w:rPr>
              <w:t>13</w:t>
            </w:r>
          </w:p>
        </w:tc>
        <w:tc>
          <w:tcPr>
            <w:tcW w:w="3134" w:type="dxa"/>
            <w:tcBorders>
              <w:top w:val="nil"/>
              <w:left w:val="single" w:sz="4" w:space="0" w:color="auto"/>
              <w:bottom w:val="single" w:sz="4" w:space="0" w:color="auto"/>
              <w:right w:val="single" w:sz="4" w:space="0" w:color="auto"/>
            </w:tcBorders>
            <w:shd w:val="clear" w:color="auto" w:fill="ABD9F8" w:themeFill="accent1" w:themeFillTint="66"/>
            <w:vAlign w:val="center"/>
          </w:tcPr>
          <w:p w:rsidR="00811F9F" w:rsidRPr="00B02A32" w:rsidRDefault="00811F9F" w:rsidP="00A77A90">
            <w:pPr>
              <w:rPr>
                <w:rFonts w:cstheme="minorHAnsi"/>
                <w:color w:val="000000"/>
                <w:sz w:val="20"/>
                <w:szCs w:val="20"/>
              </w:rPr>
            </w:pPr>
            <w:r w:rsidRPr="00B02A32">
              <w:rPr>
                <w:rFonts w:cstheme="minorHAnsi"/>
                <w:color w:val="000000"/>
                <w:sz w:val="20"/>
                <w:szCs w:val="20"/>
              </w:rPr>
              <w:t>Preparatory briefing, ice-breakers, presentations, plenary session, deliberation</w:t>
            </w:r>
          </w:p>
        </w:tc>
        <w:tc>
          <w:tcPr>
            <w:tcW w:w="1120" w:type="dxa"/>
            <w:tcBorders>
              <w:top w:val="nil"/>
              <w:left w:val="single" w:sz="4" w:space="0" w:color="auto"/>
              <w:bottom w:val="single" w:sz="4" w:space="0" w:color="auto"/>
              <w:right w:val="single" w:sz="4" w:space="0" w:color="auto"/>
            </w:tcBorders>
            <w:shd w:val="clear" w:color="auto" w:fill="ABD9F8" w:themeFill="accent1" w:themeFillTint="66"/>
            <w:vAlign w:val="center"/>
          </w:tcPr>
          <w:p w:rsidR="00811F9F" w:rsidRPr="00B02A32" w:rsidRDefault="00811F9F" w:rsidP="00A77A90">
            <w:pPr>
              <w:jc w:val="right"/>
              <w:rPr>
                <w:rFonts w:cstheme="minorHAnsi"/>
                <w:color w:val="000000"/>
                <w:sz w:val="20"/>
                <w:szCs w:val="20"/>
              </w:rPr>
            </w:pPr>
            <w:r w:rsidRPr="00B02A32">
              <w:rPr>
                <w:rFonts w:cstheme="minorHAnsi"/>
                <w:color w:val="000000"/>
                <w:sz w:val="20"/>
                <w:szCs w:val="20"/>
              </w:rPr>
              <w:t>2+</w:t>
            </w:r>
          </w:p>
        </w:tc>
        <w:tc>
          <w:tcPr>
            <w:tcW w:w="1616" w:type="dxa"/>
            <w:tcBorders>
              <w:top w:val="nil"/>
              <w:left w:val="single" w:sz="4" w:space="0" w:color="auto"/>
              <w:bottom w:val="single" w:sz="4" w:space="0" w:color="auto"/>
              <w:right w:val="single" w:sz="4" w:space="0" w:color="auto"/>
            </w:tcBorders>
            <w:shd w:val="clear" w:color="auto" w:fill="ABD9F8" w:themeFill="accent1" w:themeFillTint="66"/>
            <w:vAlign w:val="center"/>
          </w:tcPr>
          <w:p w:rsidR="00811F9F" w:rsidRPr="00B02A32" w:rsidRDefault="00811F9F" w:rsidP="00A77A90">
            <w:pPr>
              <w:rPr>
                <w:rFonts w:cstheme="minorHAnsi"/>
                <w:color w:val="000000"/>
                <w:sz w:val="20"/>
                <w:szCs w:val="20"/>
              </w:rPr>
            </w:pPr>
            <w:r w:rsidRPr="00B02A32">
              <w:rPr>
                <w:rFonts w:cstheme="minorHAnsi"/>
                <w:color w:val="000000"/>
                <w:sz w:val="20"/>
                <w:szCs w:val="20"/>
              </w:rPr>
              <w:t>Facilitators and knowledge experts</w:t>
            </w:r>
          </w:p>
        </w:tc>
        <w:tc>
          <w:tcPr>
            <w:tcW w:w="1308" w:type="dxa"/>
            <w:tcBorders>
              <w:top w:val="nil"/>
              <w:left w:val="single" w:sz="4" w:space="0" w:color="auto"/>
              <w:bottom w:val="single" w:sz="4" w:space="0" w:color="auto"/>
              <w:right w:val="single" w:sz="4" w:space="0" w:color="auto"/>
            </w:tcBorders>
            <w:shd w:val="clear" w:color="auto" w:fill="ABD9F8" w:themeFill="accent1" w:themeFillTint="66"/>
            <w:vAlign w:val="center"/>
          </w:tcPr>
          <w:p w:rsidR="00811F9F" w:rsidRPr="00B02A32" w:rsidRDefault="00811F9F" w:rsidP="00A77A90">
            <w:pPr>
              <w:rPr>
                <w:rFonts w:cstheme="minorHAnsi"/>
                <w:color w:val="000000"/>
                <w:sz w:val="20"/>
                <w:szCs w:val="20"/>
              </w:rPr>
            </w:pPr>
            <w:r w:rsidRPr="00B02A32">
              <w:rPr>
                <w:rFonts w:cstheme="minorHAnsi"/>
                <w:color w:val="000000"/>
                <w:sz w:val="20"/>
                <w:szCs w:val="20"/>
              </w:rPr>
              <w:t>Don't know</w:t>
            </w:r>
          </w:p>
        </w:tc>
        <w:tc>
          <w:tcPr>
            <w:tcW w:w="1104" w:type="dxa"/>
            <w:tcBorders>
              <w:top w:val="nil"/>
              <w:left w:val="single" w:sz="4" w:space="0" w:color="auto"/>
              <w:bottom w:val="single" w:sz="4" w:space="0" w:color="auto"/>
              <w:right w:val="single" w:sz="4" w:space="0" w:color="auto"/>
            </w:tcBorders>
            <w:shd w:val="clear" w:color="auto" w:fill="ABD9F8" w:themeFill="accent1" w:themeFillTint="66"/>
            <w:vAlign w:val="center"/>
          </w:tcPr>
          <w:p w:rsidR="00811F9F" w:rsidRPr="00B02A32" w:rsidRDefault="00811F9F" w:rsidP="00A77A90">
            <w:pPr>
              <w:jc w:val="right"/>
              <w:rPr>
                <w:rFonts w:cstheme="minorHAnsi"/>
                <w:color w:val="000000"/>
                <w:sz w:val="20"/>
                <w:szCs w:val="20"/>
              </w:rPr>
            </w:pPr>
            <w:r w:rsidRPr="00B02A32">
              <w:rPr>
                <w:rFonts w:cstheme="minorHAnsi"/>
                <w:color w:val="000000"/>
                <w:sz w:val="20"/>
                <w:szCs w:val="20"/>
              </w:rPr>
              <w:t>1</w:t>
            </w:r>
          </w:p>
        </w:tc>
        <w:tc>
          <w:tcPr>
            <w:tcW w:w="1925" w:type="dxa"/>
            <w:tcBorders>
              <w:top w:val="nil"/>
              <w:left w:val="single" w:sz="4" w:space="0" w:color="auto"/>
              <w:bottom w:val="single" w:sz="4" w:space="0" w:color="auto"/>
              <w:right w:val="single" w:sz="4" w:space="0" w:color="auto"/>
            </w:tcBorders>
            <w:shd w:val="clear" w:color="auto" w:fill="ABD9F8" w:themeFill="accent1" w:themeFillTint="66"/>
            <w:vAlign w:val="center"/>
          </w:tcPr>
          <w:p w:rsidR="00811F9F" w:rsidRPr="00B02A32" w:rsidRDefault="00811F9F" w:rsidP="00A77A90">
            <w:pPr>
              <w:rPr>
                <w:rFonts w:cstheme="minorHAnsi"/>
                <w:color w:val="000000"/>
                <w:sz w:val="20"/>
                <w:szCs w:val="20"/>
              </w:rPr>
            </w:pPr>
            <w:r w:rsidRPr="00B02A32">
              <w:rPr>
                <w:rFonts w:cstheme="minorHAnsi"/>
                <w:color w:val="000000"/>
                <w:sz w:val="20"/>
                <w:szCs w:val="20"/>
              </w:rPr>
              <w:t>Expert presentations</w:t>
            </w:r>
          </w:p>
        </w:tc>
      </w:tr>
      <w:tr w:rsidR="00811F9F" w:rsidTr="00A77A90">
        <w:tc>
          <w:tcPr>
            <w:tcW w:w="567" w:type="dxa"/>
          </w:tcPr>
          <w:p w:rsidR="00811F9F" w:rsidRPr="00F6330E" w:rsidRDefault="00811F9F" w:rsidP="00A77A90">
            <w:pPr>
              <w:rPr>
                <w:rFonts w:cstheme="minorHAnsi"/>
                <w:b/>
                <w:i/>
                <w:sz w:val="20"/>
                <w:szCs w:val="20"/>
              </w:rPr>
            </w:pPr>
            <w:r w:rsidRPr="00F6330E">
              <w:rPr>
                <w:rFonts w:cstheme="minorHAnsi"/>
                <w:b/>
                <w:i/>
                <w:sz w:val="20"/>
                <w:szCs w:val="20"/>
              </w:rPr>
              <w:t>14</w:t>
            </w:r>
          </w:p>
        </w:tc>
        <w:tc>
          <w:tcPr>
            <w:tcW w:w="3134" w:type="dxa"/>
            <w:tcBorders>
              <w:top w:val="nil"/>
              <w:left w:val="single" w:sz="4" w:space="0" w:color="auto"/>
              <w:bottom w:val="single" w:sz="4" w:space="0" w:color="auto"/>
              <w:right w:val="single" w:sz="4" w:space="0" w:color="auto"/>
            </w:tcBorders>
            <w:shd w:val="clear" w:color="000000" w:fill="FFFFFF"/>
            <w:vAlign w:val="center"/>
          </w:tcPr>
          <w:p w:rsidR="00811F9F" w:rsidRPr="00B02A32" w:rsidRDefault="00811F9F" w:rsidP="00A77A90">
            <w:pPr>
              <w:rPr>
                <w:rFonts w:cstheme="minorHAnsi"/>
                <w:color w:val="000000"/>
                <w:sz w:val="20"/>
                <w:szCs w:val="20"/>
              </w:rPr>
            </w:pPr>
            <w:r w:rsidRPr="00B02A32">
              <w:rPr>
                <w:rFonts w:cstheme="minorHAnsi"/>
                <w:color w:val="000000"/>
                <w:sz w:val="20"/>
                <w:szCs w:val="20"/>
              </w:rPr>
              <w:t>Online resources, questions of expert witnesses through conduit, opening speakers to jury, 15 hour citizen deliberation, recommendation in report, poll</w:t>
            </w:r>
          </w:p>
        </w:tc>
        <w:tc>
          <w:tcPr>
            <w:tcW w:w="1120" w:type="dxa"/>
            <w:tcBorders>
              <w:top w:val="nil"/>
              <w:left w:val="single" w:sz="4" w:space="0" w:color="auto"/>
              <w:bottom w:val="single" w:sz="4" w:space="0" w:color="auto"/>
              <w:right w:val="single" w:sz="4" w:space="0" w:color="auto"/>
            </w:tcBorders>
            <w:shd w:val="clear" w:color="000000" w:fill="FFFFFF"/>
            <w:vAlign w:val="center"/>
          </w:tcPr>
          <w:p w:rsidR="00811F9F" w:rsidRPr="00B02A32" w:rsidRDefault="00811F9F" w:rsidP="00A77A90">
            <w:pPr>
              <w:jc w:val="right"/>
              <w:rPr>
                <w:rFonts w:cstheme="minorHAnsi"/>
                <w:color w:val="000000"/>
                <w:sz w:val="20"/>
                <w:szCs w:val="20"/>
              </w:rPr>
            </w:pPr>
            <w:r w:rsidRPr="00B02A32">
              <w:rPr>
                <w:rFonts w:cstheme="minorHAnsi"/>
                <w:color w:val="000000"/>
                <w:sz w:val="20"/>
                <w:szCs w:val="20"/>
              </w:rPr>
              <w:t>5</w:t>
            </w:r>
          </w:p>
        </w:tc>
        <w:tc>
          <w:tcPr>
            <w:tcW w:w="1616" w:type="dxa"/>
            <w:tcBorders>
              <w:top w:val="nil"/>
              <w:left w:val="single" w:sz="4" w:space="0" w:color="auto"/>
              <w:bottom w:val="single" w:sz="4" w:space="0" w:color="auto"/>
              <w:right w:val="single" w:sz="4" w:space="0" w:color="auto"/>
            </w:tcBorders>
            <w:shd w:val="clear" w:color="000000" w:fill="FFFFFF"/>
            <w:vAlign w:val="center"/>
          </w:tcPr>
          <w:p w:rsidR="00811F9F" w:rsidRPr="00B02A32" w:rsidRDefault="00811F9F" w:rsidP="00A77A90">
            <w:pPr>
              <w:rPr>
                <w:rFonts w:cstheme="minorHAnsi"/>
                <w:color w:val="000000"/>
                <w:sz w:val="20"/>
                <w:szCs w:val="20"/>
              </w:rPr>
            </w:pPr>
            <w:r w:rsidRPr="00B02A32">
              <w:rPr>
                <w:rFonts w:cstheme="minorHAnsi"/>
                <w:color w:val="000000"/>
                <w:sz w:val="20"/>
                <w:szCs w:val="20"/>
              </w:rPr>
              <w:t>Knowledge &amp; domain experts</w:t>
            </w:r>
          </w:p>
        </w:tc>
        <w:tc>
          <w:tcPr>
            <w:tcW w:w="1308" w:type="dxa"/>
            <w:tcBorders>
              <w:top w:val="nil"/>
              <w:left w:val="single" w:sz="4" w:space="0" w:color="auto"/>
              <w:bottom w:val="single" w:sz="4" w:space="0" w:color="auto"/>
              <w:right w:val="single" w:sz="4" w:space="0" w:color="auto"/>
            </w:tcBorders>
            <w:shd w:val="clear" w:color="000000" w:fill="FFFFFF"/>
            <w:vAlign w:val="center"/>
          </w:tcPr>
          <w:p w:rsidR="00811F9F" w:rsidRPr="00B02A32" w:rsidRDefault="00811F9F" w:rsidP="00A77A90">
            <w:pPr>
              <w:rPr>
                <w:rFonts w:cstheme="minorHAnsi"/>
                <w:color w:val="000000"/>
                <w:sz w:val="20"/>
                <w:szCs w:val="20"/>
              </w:rPr>
            </w:pPr>
            <w:r w:rsidRPr="00B02A32">
              <w:rPr>
                <w:rFonts w:cstheme="minorHAnsi"/>
                <w:color w:val="000000"/>
                <w:sz w:val="20"/>
                <w:szCs w:val="20"/>
              </w:rPr>
              <w:t>Selected by Jury (based on original pool selected by organisers )</w:t>
            </w:r>
          </w:p>
        </w:tc>
        <w:tc>
          <w:tcPr>
            <w:tcW w:w="1104" w:type="dxa"/>
            <w:tcBorders>
              <w:top w:val="nil"/>
              <w:left w:val="single" w:sz="4" w:space="0" w:color="auto"/>
              <w:bottom w:val="single" w:sz="4" w:space="0" w:color="auto"/>
              <w:right w:val="single" w:sz="4" w:space="0" w:color="auto"/>
            </w:tcBorders>
            <w:shd w:val="clear" w:color="000000" w:fill="FFFFFF"/>
            <w:vAlign w:val="center"/>
          </w:tcPr>
          <w:p w:rsidR="00811F9F" w:rsidRPr="00B02A32" w:rsidRDefault="00811F9F" w:rsidP="00A77A90">
            <w:pPr>
              <w:jc w:val="right"/>
              <w:rPr>
                <w:rFonts w:cstheme="minorHAnsi"/>
                <w:color w:val="000000"/>
                <w:sz w:val="20"/>
                <w:szCs w:val="20"/>
              </w:rPr>
            </w:pPr>
            <w:r w:rsidRPr="00B02A32">
              <w:rPr>
                <w:rFonts w:cstheme="minorHAnsi"/>
                <w:color w:val="000000"/>
                <w:sz w:val="20"/>
                <w:szCs w:val="20"/>
              </w:rPr>
              <w:t>1</w:t>
            </w:r>
          </w:p>
        </w:tc>
        <w:tc>
          <w:tcPr>
            <w:tcW w:w="1925" w:type="dxa"/>
            <w:tcBorders>
              <w:top w:val="nil"/>
              <w:left w:val="single" w:sz="4" w:space="0" w:color="auto"/>
              <w:bottom w:val="single" w:sz="4" w:space="0" w:color="auto"/>
              <w:right w:val="single" w:sz="4" w:space="0" w:color="auto"/>
            </w:tcBorders>
            <w:shd w:val="clear" w:color="000000" w:fill="FFFFFF"/>
            <w:vAlign w:val="center"/>
          </w:tcPr>
          <w:p w:rsidR="00811F9F" w:rsidRPr="00B02A32" w:rsidRDefault="00811F9F" w:rsidP="00A77A90">
            <w:pPr>
              <w:rPr>
                <w:rFonts w:cstheme="minorHAnsi"/>
                <w:color w:val="000000"/>
                <w:sz w:val="20"/>
                <w:szCs w:val="20"/>
              </w:rPr>
            </w:pPr>
            <w:r w:rsidRPr="00B02A32">
              <w:rPr>
                <w:rFonts w:cstheme="minorHAnsi"/>
                <w:color w:val="000000"/>
                <w:sz w:val="20"/>
                <w:szCs w:val="20"/>
              </w:rPr>
              <w:t>Background reading material and video (online)</w:t>
            </w:r>
          </w:p>
        </w:tc>
      </w:tr>
      <w:tr w:rsidR="00811F9F" w:rsidTr="00F6330E">
        <w:tc>
          <w:tcPr>
            <w:tcW w:w="567" w:type="dxa"/>
            <w:shd w:val="clear" w:color="auto" w:fill="ABD9F8" w:themeFill="accent1" w:themeFillTint="66"/>
          </w:tcPr>
          <w:p w:rsidR="00811F9F" w:rsidRPr="00F6330E" w:rsidRDefault="00811F9F" w:rsidP="00A77A90">
            <w:pPr>
              <w:rPr>
                <w:rFonts w:cstheme="minorHAnsi"/>
                <w:b/>
                <w:i/>
                <w:sz w:val="20"/>
                <w:szCs w:val="20"/>
              </w:rPr>
            </w:pPr>
            <w:r w:rsidRPr="00F6330E">
              <w:rPr>
                <w:rFonts w:cstheme="minorHAnsi"/>
                <w:b/>
                <w:i/>
                <w:sz w:val="20"/>
                <w:szCs w:val="20"/>
              </w:rPr>
              <w:t>15</w:t>
            </w:r>
          </w:p>
        </w:tc>
        <w:tc>
          <w:tcPr>
            <w:tcW w:w="3134" w:type="dxa"/>
            <w:tcBorders>
              <w:top w:val="nil"/>
              <w:left w:val="single" w:sz="4" w:space="0" w:color="auto"/>
              <w:bottom w:val="single" w:sz="4" w:space="0" w:color="auto"/>
              <w:right w:val="single" w:sz="4" w:space="0" w:color="auto"/>
            </w:tcBorders>
            <w:shd w:val="clear" w:color="auto" w:fill="ABD9F8" w:themeFill="accent1" w:themeFillTint="66"/>
            <w:vAlign w:val="center"/>
          </w:tcPr>
          <w:p w:rsidR="00811F9F" w:rsidRPr="00B02A32" w:rsidRDefault="00811F9F" w:rsidP="00A77A90">
            <w:pPr>
              <w:rPr>
                <w:rFonts w:cstheme="minorHAnsi"/>
                <w:color w:val="000000"/>
                <w:sz w:val="20"/>
                <w:szCs w:val="20"/>
              </w:rPr>
            </w:pPr>
            <w:r w:rsidRPr="00B02A32">
              <w:rPr>
                <w:rFonts w:cstheme="minorHAnsi"/>
                <w:color w:val="000000"/>
                <w:sz w:val="20"/>
                <w:szCs w:val="20"/>
              </w:rPr>
              <w:t>Preparatory briefing, deliberation</w:t>
            </w:r>
          </w:p>
        </w:tc>
        <w:tc>
          <w:tcPr>
            <w:tcW w:w="1120" w:type="dxa"/>
            <w:tcBorders>
              <w:top w:val="nil"/>
              <w:left w:val="single" w:sz="4" w:space="0" w:color="auto"/>
              <w:bottom w:val="single" w:sz="4" w:space="0" w:color="auto"/>
              <w:right w:val="single" w:sz="4" w:space="0" w:color="auto"/>
            </w:tcBorders>
            <w:shd w:val="clear" w:color="auto" w:fill="ABD9F8" w:themeFill="accent1" w:themeFillTint="66"/>
            <w:vAlign w:val="center"/>
          </w:tcPr>
          <w:p w:rsidR="00811F9F" w:rsidRPr="00B02A32" w:rsidRDefault="00811F9F" w:rsidP="00A77A90">
            <w:pPr>
              <w:jc w:val="right"/>
              <w:rPr>
                <w:rFonts w:cstheme="minorHAnsi"/>
                <w:color w:val="000000"/>
                <w:sz w:val="20"/>
                <w:szCs w:val="20"/>
              </w:rPr>
            </w:pPr>
            <w:r w:rsidRPr="00B02A32">
              <w:rPr>
                <w:rFonts w:cstheme="minorHAnsi"/>
                <w:color w:val="000000"/>
                <w:sz w:val="20"/>
                <w:szCs w:val="20"/>
              </w:rPr>
              <w:t>5+</w:t>
            </w:r>
          </w:p>
        </w:tc>
        <w:tc>
          <w:tcPr>
            <w:tcW w:w="1616" w:type="dxa"/>
            <w:tcBorders>
              <w:top w:val="nil"/>
              <w:left w:val="single" w:sz="4" w:space="0" w:color="auto"/>
              <w:bottom w:val="single" w:sz="4" w:space="0" w:color="auto"/>
              <w:right w:val="single" w:sz="4" w:space="0" w:color="auto"/>
            </w:tcBorders>
            <w:shd w:val="clear" w:color="auto" w:fill="ABD9F8" w:themeFill="accent1" w:themeFillTint="66"/>
            <w:vAlign w:val="center"/>
          </w:tcPr>
          <w:p w:rsidR="00811F9F" w:rsidRPr="00B02A32" w:rsidRDefault="00811F9F" w:rsidP="00A77A90">
            <w:pPr>
              <w:rPr>
                <w:rFonts w:cstheme="minorHAnsi"/>
                <w:color w:val="000000"/>
                <w:sz w:val="20"/>
                <w:szCs w:val="20"/>
              </w:rPr>
            </w:pPr>
            <w:r w:rsidRPr="00B02A32">
              <w:rPr>
                <w:rFonts w:cstheme="minorHAnsi"/>
                <w:color w:val="000000"/>
                <w:sz w:val="20"/>
                <w:szCs w:val="20"/>
              </w:rPr>
              <w:t>Facilitators and knowledge experts</w:t>
            </w:r>
          </w:p>
        </w:tc>
        <w:tc>
          <w:tcPr>
            <w:tcW w:w="1308" w:type="dxa"/>
            <w:tcBorders>
              <w:top w:val="nil"/>
              <w:left w:val="single" w:sz="4" w:space="0" w:color="auto"/>
              <w:bottom w:val="single" w:sz="4" w:space="0" w:color="auto"/>
              <w:right w:val="single" w:sz="4" w:space="0" w:color="auto"/>
            </w:tcBorders>
            <w:shd w:val="clear" w:color="auto" w:fill="ABD9F8" w:themeFill="accent1" w:themeFillTint="66"/>
            <w:vAlign w:val="center"/>
          </w:tcPr>
          <w:p w:rsidR="00811F9F" w:rsidRPr="00B02A32" w:rsidRDefault="00811F9F" w:rsidP="00A77A90">
            <w:pPr>
              <w:rPr>
                <w:rFonts w:cstheme="minorHAnsi"/>
                <w:color w:val="000000"/>
                <w:sz w:val="20"/>
                <w:szCs w:val="20"/>
              </w:rPr>
            </w:pPr>
            <w:r w:rsidRPr="00B02A32">
              <w:rPr>
                <w:rFonts w:cstheme="minorHAnsi"/>
                <w:color w:val="000000"/>
                <w:sz w:val="20"/>
                <w:szCs w:val="20"/>
              </w:rPr>
              <w:t>Invitation</w:t>
            </w:r>
          </w:p>
        </w:tc>
        <w:tc>
          <w:tcPr>
            <w:tcW w:w="1104" w:type="dxa"/>
            <w:tcBorders>
              <w:top w:val="nil"/>
              <w:left w:val="single" w:sz="4" w:space="0" w:color="auto"/>
              <w:bottom w:val="single" w:sz="4" w:space="0" w:color="auto"/>
              <w:right w:val="single" w:sz="4" w:space="0" w:color="auto"/>
            </w:tcBorders>
            <w:shd w:val="clear" w:color="auto" w:fill="ABD9F8" w:themeFill="accent1" w:themeFillTint="66"/>
            <w:vAlign w:val="center"/>
          </w:tcPr>
          <w:p w:rsidR="00811F9F" w:rsidRPr="00B02A32" w:rsidRDefault="00811F9F" w:rsidP="00A77A90">
            <w:pPr>
              <w:jc w:val="right"/>
              <w:rPr>
                <w:rFonts w:cstheme="minorHAnsi"/>
                <w:color w:val="000000"/>
                <w:sz w:val="20"/>
                <w:szCs w:val="20"/>
              </w:rPr>
            </w:pPr>
            <w:r w:rsidRPr="00B02A32">
              <w:rPr>
                <w:rFonts w:cstheme="minorHAnsi"/>
                <w:color w:val="000000"/>
                <w:sz w:val="20"/>
                <w:szCs w:val="20"/>
              </w:rPr>
              <w:t>1</w:t>
            </w:r>
          </w:p>
        </w:tc>
        <w:tc>
          <w:tcPr>
            <w:tcW w:w="1925" w:type="dxa"/>
            <w:tcBorders>
              <w:top w:val="nil"/>
              <w:left w:val="single" w:sz="4" w:space="0" w:color="auto"/>
              <w:bottom w:val="single" w:sz="4" w:space="0" w:color="auto"/>
              <w:right w:val="single" w:sz="4" w:space="0" w:color="auto"/>
            </w:tcBorders>
            <w:shd w:val="clear" w:color="auto" w:fill="ABD9F8" w:themeFill="accent1" w:themeFillTint="66"/>
            <w:vAlign w:val="center"/>
          </w:tcPr>
          <w:p w:rsidR="00811F9F" w:rsidRPr="00B02A32" w:rsidRDefault="00811F9F" w:rsidP="00A77A90">
            <w:pPr>
              <w:rPr>
                <w:rFonts w:cstheme="minorHAnsi"/>
                <w:color w:val="000000"/>
                <w:sz w:val="20"/>
                <w:szCs w:val="20"/>
              </w:rPr>
            </w:pPr>
            <w:r w:rsidRPr="00B02A32">
              <w:rPr>
                <w:rFonts w:cstheme="minorHAnsi"/>
                <w:color w:val="000000"/>
                <w:sz w:val="20"/>
                <w:szCs w:val="20"/>
              </w:rPr>
              <w:t>Expert presentations</w:t>
            </w:r>
          </w:p>
        </w:tc>
      </w:tr>
    </w:tbl>
    <w:p w:rsidR="00E927B0" w:rsidRDefault="00E927B0" w:rsidP="00E927B0">
      <w:pPr>
        <w:jc w:val="both"/>
        <w:rPr>
          <w:i/>
          <w:sz w:val="24"/>
          <w:szCs w:val="24"/>
          <w:lang w:val="it-IT"/>
        </w:rPr>
      </w:pPr>
    </w:p>
    <w:p w:rsidR="00811F9F" w:rsidRDefault="00811F9F" w:rsidP="00E927B0">
      <w:pPr>
        <w:jc w:val="both"/>
        <w:rPr>
          <w:i/>
          <w:sz w:val="24"/>
          <w:szCs w:val="24"/>
          <w:lang w:val="it-IT"/>
        </w:rPr>
      </w:pPr>
    </w:p>
    <w:p w:rsidR="00811F9F" w:rsidRPr="00E927B0" w:rsidRDefault="00811F9F" w:rsidP="00E927B0">
      <w:pPr>
        <w:jc w:val="both"/>
        <w:rPr>
          <w:i/>
          <w:sz w:val="24"/>
          <w:szCs w:val="24"/>
          <w:lang w:val="it-IT"/>
        </w:rPr>
      </w:pPr>
    </w:p>
    <w:p w:rsidR="00E927B0" w:rsidRPr="0022023D" w:rsidRDefault="00E927B0" w:rsidP="00811F9F">
      <w:pPr>
        <w:numPr>
          <w:ilvl w:val="0"/>
          <w:numId w:val="8"/>
        </w:numPr>
        <w:jc w:val="both"/>
        <w:rPr>
          <w:b/>
          <w:i/>
          <w:color w:val="0B5484" w:themeColor="accent1" w:themeShade="80"/>
          <w:sz w:val="24"/>
          <w:szCs w:val="24"/>
          <w:lang w:val="it-IT"/>
        </w:rPr>
      </w:pPr>
      <w:r w:rsidRPr="0022023D">
        <w:rPr>
          <w:b/>
          <w:i/>
          <w:color w:val="0B5484" w:themeColor="accent1" w:themeShade="80"/>
          <w:sz w:val="24"/>
          <w:szCs w:val="24"/>
        </w:rPr>
        <w:lastRenderedPageBreak/>
        <w:t xml:space="preserve">Are there any trends across the cases in each country that suggest some </w:t>
      </w:r>
      <w:r w:rsidRPr="0022023D">
        <w:rPr>
          <w:b/>
          <w:i/>
          <w:color w:val="0B5484" w:themeColor="accent1" w:themeShade="80"/>
          <w:sz w:val="24"/>
          <w:szCs w:val="24"/>
          <w:lang w:val="it-IT"/>
        </w:rPr>
        <w:t>types of expert, methods of expert recruitment, and the methods of presentation of evidence influences the liklihood a mini-public will influence policy and practice?</w:t>
      </w:r>
    </w:p>
    <w:p w:rsidR="00E927B0" w:rsidRDefault="00E927B0" w:rsidP="00E927B0">
      <w:pPr>
        <w:jc w:val="both"/>
        <w:rPr>
          <w:sz w:val="24"/>
          <w:szCs w:val="24"/>
          <w:lang w:val="it-IT"/>
        </w:rPr>
      </w:pPr>
      <w:r w:rsidRPr="00E927B0">
        <w:rPr>
          <w:sz w:val="24"/>
          <w:szCs w:val="24"/>
          <w:lang w:val="it-IT"/>
        </w:rPr>
        <w:t>None of the cases seemed to suggest such a thing in regards to type of expert or their methods of recruitment</w:t>
      </w:r>
      <w:r w:rsidR="0022023D">
        <w:rPr>
          <w:sz w:val="24"/>
          <w:szCs w:val="24"/>
          <w:lang w:val="it-IT"/>
        </w:rPr>
        <w:t xml:space="preserve"> and</w:t>
      </w:r>
      <w:r w:rsidRPr="00E927B0">
        <w:rPr>
          <w:sz w:val="24"/>
          <w:szCs w:val="24"/>
          <w:lang w:val="it-IT"/>
        </w:rPr>
        <w:t xml:space="preserve"> with a small sample size it is not really possible to affirm. With that said, there were examples such as those </w:t>
      </w:r>
      <w:r w:rsidR="002432B3">
        <w:rPr>
          <w:sz w:val="24"/>
          <w:szCs w:val="24"/>
          <w:lang w:val="it-IT"/>
        </w:rPr>
        <w:t xml:space="preserve">discussed above </w:t>
      </w:r>
      <w:r w:rsidRPr="00E927B0">
        <w:rPr>
          <w:sz w:val="24"/>
          <w:szCs w:val="24"/>
          <w:lang w:val="it-IT"/>
        </w:rPr>
        <w:t xml:space="preserve">in section I </w:t>
      </w:r>
      <w:r w:rsidR="00811F9F">
        <w:rPr>
          <w:sz w:val="24"/>
          <w:szCs w:val="24"/>
          <w:lang w:val="it-IT"/>
        </w:rPr>
        <w:t xml:space="preserve">(cases 1,3, and 10) </w:t>
      </w:r>
      <w:r w:rsidRPr="00E927B0">
        <w:rPr>
          <w:sz w:val="24"/>
          <w:szCs w:val="24"/>
          <w:lang w:val="it-IT"/>
        </w:rPr>
        <w:t>that demonstrated methods of presentation, such as expert testimony and evidence provision, changed citizens opinions</w:t>
      </w:r>
      <w:r w:rsidR="0022023D">
        <w:rPr>
          <w:sz w:val="24"/>
          <w:szCs w:val="24"/>
          <w:lang w:val="it-IT"/>
        </w:rPr>
        <w:t xml:space="preserve"> </w:t>
      </w:r>
      <w:r w:rsidR="0022023D" w:rsidRPr="00E927B0">
        <w:rPr>
          <w:sz w:val="24"/>
          <w:szCs w:val="24"/>
          <w:lang w:val="it-IT"/>
        </w:rPr>
        <w:t>(Withall et al 2014; Parkin 2011</w:t>
      </w:r>
      <w:r w:rsidR="00BE31F8">
        <w:rPr>
          <w:sz w:val="24"/>
          <w:szCs w:val="24"/>
          <w:lang w:val="it-IT"/>
        </w:rPr>
        <w:t xml:space="preserve">; </w:t>
      </w:r>
      <w:proofErr w:type="spellStart"/>
      <w:r w:rsidR="00BE31F8" w:rsidRPr="00BE31F8">
        <w:rPr>
          <w:sz w:val="24"/>
          <w:szCs w:val="24"/>
        </w:rPr>
        <w:t>Rychetnik</w:t>
      </w:r>
      <w:proofErr w:type="spellEnd"/>
      <w:r w:rsidR="00BE31F8" w:rsidRPr="00BE31F8">
        <w:rPr>
          <w:sz w:val="24"/>
          <w:szCs w:val="24"/>
        </w:rPr>
        <w:t xml:space="preserve"> et al 2</w:t>
      </w:r>
      <w:r w:rsidR="00BE31F8">
        <w:rPr>
          <w:sz w:val="24"/>
          <w:szCs w:val="24"/>
        </w:rPr>
        <w:t>012</w:t>
      </w:r>
      <w:r w:rsidR="0022023D" w:rsidRPr="00E927B0">
        <w:rPr>
          <w:sz w:val="24"/>
          <w:szCs w:val="24"/>
          <w:lang w:val="it-IT"/>
        </w:rPr>
        <w:t>)</w:t>
      </w:r>
      <w:r w:rsidRPr="00E927B0">
        <w:rPr>
          <w:sz w:val="24"/>
          <w:szCs w:val="24"/>
          <w:lang w:val="it-IT"/>
        </w:rPr>
        <w:t>. This means that different recommendations were made which would not have been had their opinions remained unchanged. This would have directly influenced the out</w:t>
      </w:r>
      <w:r w:rsidR="002432B3">
        <w:rPr>
          <w:sz w:val="24"/>
          <w:szCs w:val="24"/>
          <w:lang w:val="it-IT"/>
        </w:rPr>
        <w:t>come of the mini-public, which c</w:t>
      </w:r>
      <w:r w:rsidRPr="00E927B0">
        <w:rPr>
          <w:sz w:val="24"/>
          <w:szCs w:val="24"/>
          <w:lang w:val="it-IT"/>
        </w:rPr>
        <w:t>ould have directly influenced policy.</w:t>
      </w:r>
    </w:p>
    <w:p w:rsidR="00F83B39" w:rsidRPr="00E927B0" w:rsidRDefault="00F83B39" w:rsidP="00E927B0">
      <w:pPr>
        <w:jc w:val="both"/>
        <w:rPr>
          <w:sz w:val="24"/>
          <w:szCs w:val="24"/>
          <w:lang w:val="it-IT"/>
        </w:rPr>
      </w:pPr>
    </w:p>
    <w:p w:rsidR="00AC17FF" w:rsidRDefault="00AC17FF" w:rsidP="00AC17FF">
      <w:pPr>
        <w:jc w:val="both"/>
        <w:rPr>
          <w:b/>
          <w:color w:val="0B5484" w:themeColor="accent1" w:themeShade="80"/>
          <w:sz w:val="24"/>
          <w:szCs w:val="24"/>
        </w:rPr>
      </w:pPr>
      <w:r w:rsidRPr="00C82A8C">
        <w:rPr>
          <w:b/>
          <w:bCs/>
          <w:color w:val="0B5484" w:themeColor="accent1" w:themeShade="80"/>
          <w:sz w:val="24"/>
          <w:szCs w:val="24"/>
        </w:rPr>
        <w:t xml:space="preserve">Table </w:t>
      </w:r>
      <w:r>
        <w:rPr>
          <w:b/>
          <w:bCs/>
          <w:color w:val="0B5484" w:themeColor="accent1" w:themeShade="80"/>
          <w:sz w:val="24"/>
          <w:szCs w:val="24"/>
        </w:rPr>
        <w:t>5:</w:t>
      </w:r>
      <w:r w:rsidRPr="00C82A8C">
        <w:rPr>
          <w:b/>
          <w:bCs/>
          <w:color w:val="0B5484" w:themeColor="accent1" w:themeShade="80"/>
          <w:sz w:val="24"/>
          <w:szCs w:val="24"/>
        </w:rPr>
        <w:t xml:space="preserve"> </w:t>
      </w:r>
      <w:r>
        <w:rPr>
          <w:b/>
          <w:color w:val="0B5484" w:themeColor="accent1" w:themeShade="80"/>
          <w:sz w:val="24"/>
          <w:szCs w:val="24"/>
        </w:rPr>
        <w:t xml:space="preserve">Australia and New Zealand: </w:t>
      </w:r>
      <w:r>
        <w:rPr>
          <w:b/>
          <w:bCs/>
          <w:color w:val="0B5484" w:themeColor="accent1" w:themeShade="80"/>
          <w:sz w:val="24"/>
          <w:szCs w:val="24"/>
        </w:rPr>
        <w:t>Impact in</w:t>
      </w:r>
      <w:r w:rsidRPr="00C82A8C">
        <w:rPr>
          <w:b/>
          <w:bCs/>
          <w:color w:val="0B5484" w:themeColor="accent1" w:themeShade="80"/>
          <w:sz w:val="24"/>
          <w:szCs w:val="24"/>
        </w:rPr>
        <w:t xml:space="preserve"> </w:t>
      </w:r>
      <w:r>
        <w:rPr>
          <w:b/>
          <w:color w:val="0B5484" w:themeColor="accent1" w:themeShade="80"/>
          <w:sz w:val="24"/>
          <w:szCs w:val="24"/>
        </w:rPr>
        <w:t xml:space="preserve">Mini-Public </w:t>
      </w:r>
      <w:r w:rsidRPr="00C82A8C">
        <w:rPr>
          <w:b/>
          <w:color w:val="0B5484" w:themeColor="accent1" w:themeShade="80"/>
          <w:sz w:val="24"/>
          <w:szCs w:val="24"/>
        </w:rPr>
        <w:t>Cases</w:t>
      </w:r>
    </w:p>
    <w:tbl>
      <w:tblPr>
        <w:tblStyle w:val="TableGrid"/>
        <w:tblW w:w="10774" w:type="dxa"/>
        <w:tblInd w:w="-998" w:type="dxa"/>
        <w:tblLook w:val="04A0" w:firstRow="1" w:lastRow="0" w:firstColumn="1" w:lastColumn="0" w:noHBand="0" w:noVBand="1"/>
      </w:tblPr>
      <w:tblGrid>
        <w:gridCol w:w="510"/>
        <w:gridCol w:w="3546"/>
        <w:gridCol w:w="1502"/>
        <w:gridCol w:w="2665"/>
        <w:gridCol w:w="2551"/>
      </w:tblGrid>
      <w:tr w:rsidR="00811F9F" w:rsidTr="00A77A90">
        <w:tc>
          <w:tcPr>
            <w:tcW w:w="510" w:type="dxa"/>
            <w:shd w:val="clear" w:color="auto" w:fill="FFFFFF" w:themeFill="background1"/>
          </w:tcPr>
          <w:p w:rsidR="00811F9F" w:rsidRPr="00C4576A" w:rsidRDefault="00811F9F" w:rsidP="00A77A90">
            <w:pPr>
              <w:rPr>
                <w:rFonts w:cstheme="minorHAnsi"/>
                <w:i/>
                <w:color w:val="0B5484" w:themeColor="accent1" w:themeShade="80"/>
                <w:sz w:val="20"/>
                <w:szCs w:val="20"/>
              </w:rPr>
            </w:pPr>
            <w:r w:rsidRPr="00C4576A">
              <w:rPr>
                <w:rFonts w:cstheme="minorHAnsi"/>
                <w:b/>
                <w:i/>
                <w:color w:val="0B5484" w:themeColor="accent1" w:themeShade="80"/>
                <w:sz w:val="20"/>
                <w:szCs w:val="20"/>
              </w:rPr>
              <w:t>No.</w:t>
            </w:r>
          </w:p>
        </w:tc>
        <w:tc>
          <w:tcPr>
            <w:tcW w:w="35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11F9F" w:rsidRPr="00C4576A" w:rsidRDefault="00811F9F" w:rsidP="00A77A90">
            <w:pPr>
              <w:rPr>
                <w:rFonts w:cstheme="minorHAnsi"/>
                <w:b/>
                <w:bCs/>
                <w:i/>
                <w:color w:val="0B5484" w:themeColor="accent1" w:themeShade="80"/>
                <w:sz w:val="20"/>
                <w:szCs w:val="20"/>
              </w:rPr>
            </w:pPr>
            <w:r w:rsidRPr="00C4576A">
              <w:rPr>
                <w:rFonts w:cstheme="minorHAnsi"/>
                <w:b/>
                <w:bCs/>
                <w:i/>
                <w:color w:val="0B5484" w:themeColor="accent1" w:themeShade="80"/>
                <w:sz w:val="20"/>
                <w:szCs w:val="20"/>
              </w:rPr>
              <w:t>Influence of evidence on participants</w:t>
            </w:r>
          </w:p>
        </w:tc>
        <w:tc>
          <w:tcPr>
            <w:tcW w:w="1502" w:type="dxa"/>
            <w:tcBorders>
              <w:top w:val="single" w:sz="4" w:space="0" w:color="auto"/>
              <w:left w:val="nil"/>
              <w:bottom w:val="single" w:sz="4" w:space="0" w:color="auto"/>
              <w:right w:val="single" w:sz="4" w:space="0" w:color="auto"/>
            </w:tcBorders>
            <w:shd w:val="clear" w:color="auto" w:fill="FFFFFF" w:themeFill="background1"/>
            <w:vAlign w:val="center"/>
          </w:tcPr>
          <w:p w:rsidR="00811F9F" w:rsidRPr="00C4576A" w:rsidRDefault="00811F9F" w:rsidP="00A77A90">
            <w:pPr>
              <w:rPr>
                <w:rFonts w:cstheme="minorHAnsi"/>
                <w:b/>
                <w:bCs/>
                <w:i/>
                <w:color w:val="0B5484" w:themeColor="accent1" w:themeShade="80"/>
                <w:sz w:val="20"/>
                <w:szCs w:val="20"/>
              </w:rPr>
            </w:pPr>
            <w:r w:rsidRPr="00C4576A">
              <w:rPr>
                <w:rFonts w:cstheme="minorHAnsi"/>
                <w:b/>
                <w:bCs/>
                <w:i/>
                <w:color w:val="0B5484" w:themeColor="accent1" w:themeShade="80"/>
                <w:sz w:val="20"/>
                <w:szCs w:val="20"/>
              </w:rPr>
              <w:t xml:space="preserve">Policy area </w:t>
            </w:r>
          </w:p>
        </w:tc>
        <w:tc>
          <w:tcPr>
            <w:tcW w:w="2665" w:type="dxa"/>
            <w:tcBorders>
              <w:top w:val="single" w:sz="4" w:space="0" w:color="auto"/>
              <w:left w:val="nil"/>
              <w:bottom w:val="single" w:sz="4" w:space="0" w:color="auto"/>
              <w:right w:val="single" w:sz="4" w:space="0" w:color="auto"/>
            </w:tcBorders>
            <w:shd w:val="clear" w:color="auto" w:fill="FFFFFF" w:themeFill="background1"/>
            <w:vAlign w:val="center"/>
          </w:tcPr>
          <w:p w:rsidR="00811F9F" w:rsidRPr="00C4576A" w:rsidRDefault="00811F9F" w:rsidP="00A77A90">
            <w:pPr>
              <w:rPr>
                <w:rFonts w:cstheme="minorHAnsi"/>
                <w:b/>
                <w:bCs/>
                <w:i/>
                <w:color w:val="0B5484" w:themeColor="accent1" w:themeShade="80"/>
                <w:sz w:val="20"/>
                <w:szCs w:val="20"/>
              </w:rPr>
            </w:pPr>
            <w:r w:rsidRPr="00C4576A">
              <w:rPr>
                <w:rFonts w:cstheme="minorHAnsi"/>
                <w:b/>
                <w:bCs/>
                <w:i/>
                <w:color w:val="0B5484" w:themeColor="accent1" w:themeShade="80"/>
                <w:sz w:val="20"/>
                <w:szCs w:val="20"/>
              </w:rPr>
              <w:t>Extent of policy/ practice influence</w:t>
            </w:r>
          </w:p>
        </w:tc>
        <w:tc>
          <w:tcPr>
            <w:tcW w:w="2551" w:type="dxa"/>
            <w:tcBorders>
              <w:top w:val="single" w:sz="4" w:space="0" w:color="auto"/>
              <w:left w:val="nil"/>
              <w:bottom w:val="single" w:sz="4" w:space="0" w:color="auto"/>
              <w:right w:val="single" w:sz="4" w:space="0" w:color="auto"/>
            </w:tcBorders>
            <w:shd w:val="clear" w:color="auto" w:fill="FFFFFF" w:themeFill="background1"/>
            <w:vAlign w:val="center"/>
          </w:tcPr>
          <w:p w:rsidR="00811F9F" w:rsidRPr="00C4576A" w:rsidRDefault="00811F9F" w:rsidP="00A77A90">
            <w:pPr>
              <w:rPr>
                <w:rFonts w:cstheme="minorHAnsi"/>
                <w:b/>
                <w:bCs/>
                <w:i/>
                <w:color w:val="0B5484" w:themeColor="accent1" w:themeShade="80"/>
                <w:sz w:val="20"/>
                <w:szCs w:val="20"/>
              </w:rPr>
            </w:pPr>
            <w:r w:rsidRPr="00C4576A">
              <w:rPr>
                <w:rFonts w:cstheme="minorHAnsi"/>
                <w:b/>
                <w:bCs/>
                <w:i/>
                <w:color w:val="0B5484" w:themeColor="accent1" w:themeShade="80"/>
                <w:sz w:val="20"/>
                <w:szCs w:val="20"/>
              </w:rPr>
              <w:t>Key references</w:t>
            </w:r>
          </w:p>
        </w:tc>
      </w:tr>
      <w:tr w:rsidR="00811F9F" w:rsidTr="00494EAD">
        <w:tc>
          <w:tcPr>
            <w:tcW w:w="510" w:type="dxa"/>
            <w:shd w:val="clear" w:color="auto" w:fill="ABD9F8" w:themeFill="accent1" w:themeFillTint="66"/>
            <w:vAlign w:val="center"/>
          </w:tcPr>
          <w:p w:rsidR="00811F9F" w:rsidRPr="00494EAD" w:rsidRDefault="00811F9F" w:rsidP="00A77A90">
            <w:pPr>
              <w:rPr>
                <w:rFonts w:cstheme="minorHAnsi"/>
                <w:b/>
                <w:i/>
                <w:sz w:val="20"/>
                <w:szCs w:val="20"/>
              </w:rPr>
            </w:pPr>
            <w:r w:rsidRPr="00494EAD">
              <w:rPr>
                <w:rFonts w:cstheme="minorHAnsi"/>
                <w:b/>
                <w:i/>
                <w:sz w:val="20"/>
                <w:szCs w:val="20"/>
              </w:rPr>
              <w:t>1</w:t>
            </w:r>
          </w:p>
        </w:tc>
        <w:tc>
          <w:tcPr>
            <w:tcW w:w="3546" w:type="dxa"/>
            <w:tcBorders>
              <w:top w:val="single" w:sz="4" w:space="0" w:color="auto"/>
              <w:left w:val="single" w:sz="4" w:space="0" w:color="auto"/>
              <w:bottom w:val="single" w:sz="4" w:space="0" w:color="auto"/>
              <w:right w:val="single" w:sz="4" w:space="0" w:color="auto"/>
            </w:tcBorders>
            <w:shd w:val="clear" w:color="auto" w:fill="ABD9F8" w:themeFill="accent1" w:themeFillTint="66"/>
            <w:vAlign w:val="center"/>
          </w:tcPr>
          <w:p w:rsidR="00811F9F" w:rsidRPr="00D40E11" w:rsidRDefault="00811F9F" w:rsidP="00A77A90">
            <w:pPr>
              <w:rPr>
                <w:rFonts w:cstheme="minorHAnsi"/>
                <w:color w:val="000000"/>
                <w:sz w:val="20"/>
                <w:szCs w:val="20"/>
              </w:rPr>
            </w:pPr>
            <w:r w:rsidRPr="00D40E11">
              <w:rPr>
                <w:rFonts w:cstheme="minorHAnsi"/>
                <w:color w:val="000000"/>
                <w:sz w:val="20"/>
                <w:szCs w:val="20"/>
              </w:rPr>
              <w:t>Extensive influence</w:t>
            </w:r>
          </w:p>
        </w:tc>
        <w:tc>
          <w:tcPr>
            <w:tcW w:w="1502" w:type="dxa"/>
            <w:tcBorders>
              <w:top w:val="single" w:sz="4" w:space="0" w:color="auto"/>
              <w:left w:val="single" w:sz="4" w:space="0" w:color="auto"/>
              <w:bottom w:val="single" w:sz="4" w:space="0" w:color="auto"/>
              <w:right w:val="single" w:sz="4" w:space="0" w:color="auto"/>
            </w:tcBorders>
            <w:shd w:val="clear" w:color="auto" w:fill="ABD9F8" w:themeFill="accent1" w:themeFillTint="66"/>
            <w:vAlign w:val="center"/>
          </w:tcPr>
          <w:p w:rsidR="00811F9F" w:rsidRPr="00D40E11" w:rsidRDefault="00811F9F" w:rsidP="00A77A90">
            <w:pPr>
              <w:rPr>
                <w:rFonts w:cstheme="minorHAnsi"/>
                <w:color w:val="000000"/>
                <w:sz w:val="20"/>
                <w:szCs w:val="20"/>
              </w:rPr>
            </w:pPr>
            <w:r w:rsidRPr="00D40E11">
              <w:rPr>
                <w:rFonts w:cstheme="minorHAnsi"/>
                <w:color w:val="000000"/>
                <w:sz w:val="20"/>
                <w:szCs w:val="20"/>
              </w:rPr>
              <w:t>Health</w:t>
            </w:r>
          </w:p>
        </w:tc>
        <w:tc>
          <w:tcPr>
            <w:tcW w:w="2665" w:type="dxa"/>
            <w:shd w:val="clear" w:color="auto" w:fill="ABD9F8" w:themeFill="accent1" w:themeFillTint="66"/>
          </w:tcPr>
          <w:p w:rsidR="00811F9F" w:rsidRPr="00D40E11" w:rsidRDefault="00811F9F" w:rsidP="00A77A90">
            <w:pPr>
              <w:rPr>
                <w:rFonts w:cstheme="minorHAnsi"/>
                <w:sz w:val="20"/>
                <w:szCs w:val="20"/>
              </w:rPr>
            </w:pPr>
            <w:r w:rsidRPr="00D40E11">
              <w:rPr>
                <w:rFonts w:cstheme="minorHAnsi"/>
                <w:sz w:val="20"/>
                <w:szCs w:val="20"/>
              </w:rPr>
              <w:t>Used to elicit c</w:t>
            </w:r>
            <w:r>
              <w:rPr>
                <w:rFonts w:cstheme="minorHAnsi"/>
                <w:sz w:val="20"/>
                <w:szCs w:val="20"/>
              </w:rPr>
              <w:t>ommunity views, no impact known</w:t>
            </w:r>
          </w:p>
        </w:tc>
        <w:tc>
          <w:tcPr>
            <w:tcW w:w="2551" w:type="dxa"/>
            <w:shd w:val="clear" w:color="auto" w:fill="ABD9F8" w:themeFill="accent1" w:themeFillTint="66"/>
          </w:tcPr>
          <w:p w:rsidR="00811F9F" w:rsidRPr="00D40E11" w:rsidRDefault="00811F9F" w:rsidP="00A77A90">
            <w:pPr>
              <w:rPr>
                <w:rFonts w:cstheme="minorHAnsi"/>
                <w:sz w:val="20"/>
                <w:szCs w:val="20"/>
              </w:rPr>
            </w:pPr>
            <w:r>
              <w:rPr>
                <w:rFonts w:cstheme="minorHAnsi"/>
                <w:sz w:val="20"/>
                <w:szCs w:val="20"/>
              </w:rPr>
              <w:t xml:space="preserve">Paul et al. (2008); </w:t>
            </w:r>
            <w:proofErr w:type="spellStart"/>
            <w:r w:rsidRPr="004B4033">
              <w:rPr>
                <w:rFonts w:cstheme="minorHAnsi"/>
                <w:sz w:val="20"/>
                <w:szCs w:val="20"/>
              </w:rPr>
              <w:t>Rychetnik</w:t>
            </w:r>
            <w:proofErr w:type="spellEnd"/>
            <w:r w:rsidRPr="004B4033">
              <w:rPr>
                <w:rFonts w:cstheme="minorHAnsi"/>
                <w:sz w:val="20"/>
                <w:szCs w:val="20"/>
              </w:rPr>
              <w:t>, L. et al. (2013)</w:t>
            </w:r>
          </w:p>
        </w:tc>
      </w:tr>
      <w:tr w:rsidR="00811F9F" w:rsidTr="00A77A90">
        <w:tc>
          <w:tcPr>
            <w:tcW w:w="510" w:type="dxa"/>
            <w:vAlign w:val="center"/>
          </w:tcPr>
          <w:p w:rsidR="00811F9F" w:rsidRPr="00494EAD" w:rsidRDefault="00811F9F" w:rsidP="00A77A90">
            <w:pPr>
              <w:rPr>
                <w:rFonts w:cstheme="minorHAnsi"/>
                <w:b/>
                <w:i/>
                <w:sz w:val="20"/>
                <w:szCs w:val="20"/>
              </w:rPr>
            </w:pPr>
            <w:r w:rsidRPr="00494EAD">
              <w:rPr>
                <w:rFonts w:cstheme="minorHAnsi"/>
                <w:b/>
                <w:i/>
                <w:sz w:val="20"/>
                <w:szCs w:val="20"/>
              </w:rPr>
              <w:t>2</w:t>
            </w:r>
          </w:p>
        </w:tc>
        <w:tc>
          <w:tcPr>
            <w:tcW w:w="3546" w:type="dxa"/>
            <w:tcBorders>
              <w:top w:val="nil"/>
              <w:left w:val="single" w:sz="4" w:space="0" w:color="auto"/>
              <w:bottom w:val="single" w:sz="4" w:space="0" w:color="auto"/>
              <w:right w:val="single" w:sz="4" w:space="0" w:color="auto"/>
            </w:tcBorders>
            <w:shd w:val="clear" w:color="auto" w:fill="auto"/>
            <w:vAlign w:val="center"/>
          </w:tcPr>
          <w:p w:rsidR="00811F9F" w:rsidRPr="00D40E11" w:rsidRDefault="00811F9F" w:rsidP="00A77A90">
            <w:pPr>
              <w:rPr>
                <w:rFonts w:cstheme="minorHAnsi"/>
                <w:color w:val="000000"/>
                <w:sz w:val="20"/>
                <w:szCs w:val="20"/>
              </w:rPr>
            </w:pPr>
            <w:r w:rsidRPr="00D40E11">
              <w:rPr>
                <w:rFonts w:cstheme="minorHAnsi"/>
                <w:color w:val="000000"/>
                <w:sz w:val="20"/>
                <w:szCs w:val="20"/>
              </w:rPr>
              <w:t>Don't know</w:t>
            </w:r>
          </w:p>
        </w:tc>
        <w:tc>
          <w:tcPr>
            <w:tcW w:w="1502" w:type="dxa"/>
            <w:tcBorders>
              <w:top w:val="nil"/>
              <w:left w:val="single" w:sz="4" w:space="0" w:color="auto"/>
              <w:bottom w:val="single" w:sz="4" w:space="0" w:color="auto"/>
              <w:right w:val="single" w:sz="4" w:space="0" w:color="auto"/>
            </w:tcBorders>
            <w:shd w:val="clear" w:color="auto" w:fill="auto"/>
            <w:vAlign w:val="center"/>
          </w:tcPr>
          <w:p w:rsidR="00811F9F" w:rsidRPr="00D40E11" w:rsidRDefault="00811F9F" w:rsidP="00A77A90">
            <w:pPr>
              <w:rPr>
                <w:rFonts w:cstheme="minorHAnsi"/>
                <w:color w:val="000000"/>
                <w:sz w:val="20"/>
                <w:szCs w:val="20"/>
              </w:rPr>
            </w:pPr>
            <w:r w:rsidRPr="00D40E11">
              <w:rPr>
                <w:rFonts w:cstheme="minorHAnsi"/>
                <w:color w:val="000000"/>
                <w:sz w:val="20"/>
                <w:szCs w:val="20"/>
              </w:rPr>
              <w:t>Health</w:t>
            </w:r>
          </w:p>
        </w:tc>
        <w:tc>
          <w:tcPr>
            <w:tcW w:w="2665" w:type="dxa"/>
          </w:tcPr>
          <w:p w:rsidR="00811F9F" w:rsidRPr="00D40E11" w:rsidRDefault="00811F9F" w:rsidP="00A77A90">
            <w:pPr>
              <w:rPr>
                <w:rFonts w:cstheme="minorHAnsi"/>
                <w:sz w:val="20"/>
                <w:szCs w:val="20"/>
              </w:rPr>
            </w:pPr>
            <w:r>
              <w:rPr>
                <w:rFonts w:cstheme="minorHAnsi"/>
                <w:sz w:val="20"/>
                <w:szCs w:val="20"/>
              </w:rPr>
              <w:t>Don’t know</w:t>
            </w:r>
          </w:p>
        </w:tc>
        <w:tc>
          <w:tcPr>
            <w:tcW w:w="2551" w:type="dxa"/>
          </w:tcPr>
          <w:p w:rsidR="00811F9F" w:rsidRPr="00D40E11" w:rsidRDefault="00811F9F" w:rsidP="00A77A90">
            <w:pPr>
              <w:rPr>
                <w:rFonts w:cstheme="minorHAnsi"/>
                <w:sz w:val="20"/>
                <w:szCs w:val="20"/>
              </w:rPr>
            </w:pPr>
            <w:proofErr w:type="spellStart"/>
            <w:r w:rsidRPr="003672BF">
              <w:rPr>
                <w:rFonts w:cstheme="minorHAnsi"/>
                <w:sz w:val="20"/>
                <w:szCs w:val="20"/>
              </w:rPr>
              <w:t>Braunack</w:t>
            </w:r>
            <w:proofErr w:type="spellEnd"/>
            <w:r w:rsidRPr="003672BF">
              <w:rPr>
                <w:rFonts w:cstheme="minorHAnsi"/>
                <w:sz w:val="20"/>
                <w:szCs w:val="20"/>
              </w:rPr>
              <w:t>-Mayer</w:t>
            </w:r>
            <w:r>
              <w:rPr>
                <w:rFonts w:cstheme="minorHAnsi"/>
                <w:sz w:val="20"/>
                <w:szCs w:val="20"/>
              </w:rPr>
              <w:t xml:space="preserve"> et al. (2010)</w:t>
            </w:r>
          </w:p>
        </w:tc>
      </w:tr>
      <w:tr w:rsidR="00811F9F" w:rsidTr="00494EAD">
        <w:tc>
          <w:tcPr>
            <w:tcW w:w="510" w:type="dxa"/>
            <w:shd w:val="clear" w:color="auto" w:fill="ABD9F8" w:themeFill="accent1" w:themeFillTint="66"/>
            <w:vAlign w:val="center"/>
          </w:tcPr>
          <w:p w:rsidR="00811F9F" w:rsidRPr="00494EAD" w:rsidRDefault="00811F9F" w:rsidP="00A77A90">
            <w:pPr>
              <w:rPr>
                <w:rFonts w:cstheme="minorHAnsi"/>
                <w:b/>
                <w:i/>
                <w:sz w:val="20"/>
                <w:szCs w:val="20"/>
              </w:rPr>
            </w:pPr>
            <w:r w:rsidRPr="00494EAD">
              <w:rPr>
                <w:rFonts w:cstheme="minorHAnsi"/>
                <w:b/>
                <w:i/>
                <w:sz w:val="20"/>
                <w:szCs w:val="20"/>
              </w:rPr>
              <w:t>3</w:t>
            </w:r>
          </w:p>
        </w:tc>
        <w:tc>
          <w:tcPr>
            <w:tcW w:w="3546" w:type="dxa"/>
            <w:tcBorders>
              <w:top w:val="nil"/>
              <w:left w:val="single" w:sz="4" w:space="0" w:color="auto"/>
              <w:bottom w:val="single" w:sz="4" w:space="0" w:color="auto"/>
              <w:right w:val="single" w:sz="4" w:space="0" w:color="auto"/>
            </w:tcBorders>
            <w:shd w:val="clear" w:color="auto" w:fill="ABD9F8" w:themeFill="accent1" w:themeFillTint="66"/>
            <w:vAlign w:val="center"/>
          </w:tcPr>
          <w:p w:rsidR="00811F9F" w:rsidRPr="00D40E11" w:rsidRDefault="00811F9F" w:rsidP="00A77A90">
            <w:pPr>
              <w:rPr>
                <w:rFonts w:cstheme="minorHAnsi"/>
                <w:color w:val="000000"/>
                <w:sz w:val="20"/>
                <w:szCs w:val="20"/>
              </w:rPr>
            </w:pPr>
            <w:r w:rsidRPr="00D40E11">
              <w:rPr>
                <w:rFonts w:cstheme="minorHAnsi"/>
                <w:color w:val="000000"/>
                <w:sz w:val="20"/>
                <w:szCs w:val="20"/>
              </w:rPr>
              <w:t>Extensive influence</w:t>
            </w:r>
          </w:p>
        </w:tc>
        <w:tc>
          <w:tcPr>
            <w:tcW w:w="1502" w:type="dxa"/>
            <w:tcBorders>
              <w:top w:val="nil"/>
              <w:left w:val="single" w:sz="4" w:space="0" w:color="auto"/>
              <w:bottom w:val="single" w:sz="4" w:space="0" w:color="auto"/>
              <w:right w:val="single" w:sz="4" w:space="0" w:color="auto"/>
            </w:tcBorders>
            <w:shd w:val="clear" w:color="auto" w:fill="ABD9F8" w:themeFill="accent1" w:themeFillTint="66"/>
            <w:vAlign w:val="center"/>
          </w:tcPr>
          <w:p w:rsidR="00811F9F" w:rsidRPr="00D40E11" w:rsidRDefault="00811F9F" w:rsidP="00A77A90">
            <w:pPr>
              <w:rPr>
                <w:rFonts w:cstheme="minorHAnsi"/>
                <w:color w:val="000000"/>
                <w:sz w:val="20"/>
                <w:szCs w:val="20"/>
              </w:rPr>
            </w:pPr>
            <w:r w:rsidRPr="00D40E11">
              <w:rPr>
                <w:rFonts w:cstheme="minorHAnsi"/>
                <w:color w:val="000000"/>
                <w:sz w:val="20"/>
                <w:szCs w:val="20"/>
              </w:rPr>
              <w:t>Health</w:t>
            </w:r>
          </w:p>
        </w:tc>
        <w:tc>
          <w:tcPr>
            <w:tcW w:w="2665" w:type="dxa"/>
            <w:shd w:val="clear" w:color="auto" w:fill="ABD9F8" w:themeFill="accent1" w:themeFillTint="66"/>
          </w:tcPr>
          <w:p w:rsidR="00811F9F" w:rsidRDefault="00811F9F" w:rsidP="00A77A90">
            <w:r w:rsidRPr="00821110">
              <w:rPr>
                <w:rFonts w:cstheme="minorHAnsi"/>
                <w:sz w:val="20"/>
                <w:szCs w:val="20"/>
              </w:rPr>
              <w:t>Don’t know</w:t>
            </w:r>
          </w:p>
        </w:tc>
        <w:tc>
          <w:tcPr>
            <w:tcW w:w="2551" w:type="dxa"/>
            <w:shd w:val="clear" w:color="auto" w:fill="ABD9F8" w:themeFill="accent1" w:themeFillTint="66"/>
          </w:tcPr>
          <w:p w:rsidR="00811F9F" w:rsidRPr="00D40E11" w:rsidRDefault="00811F9F" w:rsidP="00A77A90">
            <w:pPr>
              <w:rPr>
                <w:rFonts w:cstheme="minorHAnsi"/>
                <w:sz w:val="20"/>
                <w:szCs w:val="20"/>
              </w:rPr>
            </w:pPr>
            <w:r>
              <w:rPr>
                <w:rFonts w:cstheme="minorHAnsi"/>
                <w:sz w:val="20"/>
                <w:szCs w:val="20"/>
              </w:rPr>
              <w:t>Parkin et al. (2010)</w:t>
            </w:r>
          </w:p>
        </w:tc>
      </w:tr>
      <w:tr w:rsidR="00811F9F" w:rsidTr="00A77A90">
        <w:tc>
          <w:tcPr>
            <w:tcW w:w="510" w:type="dxa"/>
            <w:vAlign w:val="center"/>
          </w:tcPr>
          <w:p w:rsidR="00811F9F" w:rsidRPr="00494EAD" w:rsidRDefault="00811F9F" w:rsidP="00A77A90">
            <w:pPr>
              <w:rPr>
                <w:rFonts w:cstheme="minorHAnsi"/>
                <w:b/>
                <w:i/>
                <w:sz w:val="20"/>
                <w:szCs w:val="20"/>
              </w:rPr>
            </w:pPr>
            <w:r w:rsidRPr="00494EAD">
              <w:rPr>
                <w:rFonts w:cstheme="minorHAnsi"/>
                <w:b/>
                <w:i/>
                <w:sz w:val="20"/>
                <w:szCs w:val="20"/>
              </w:rPr>
              <w:t>4</w:t>
            </w:r>
          </w:p>
        </w:tc>
        <w:tc>
          <w:tcPr>
            <w:tcW w:w="3546" w:type="dxa"/>
            <w:tcBorders>
              <w:top w:val="nil"/>
              <w:left w:val="single" w:sz="4" w:space="0" w:color="auto"/>
              <w:bottom w:val="single" w:sz="4" w:space="0" w:color="auto"/>
              <w:right w:val="single" w:sz="4" w:space="0" w:color="auto"/>
            </w:tcBorders>
            <w:shd w:val="clear" w:color="auto" w:fill="auto"/>
            <w:vAlign w:val="center"/>
          </w:tcPr>
          <w:p w:rsidR="00811F9F" w:rsidRPr="00D40E11" w:rsidRDefault="00811F9F" w:rsidP="00A77A90">
            <w:pPr>
              <w:rPr>
                <w:rFonts w:cstheme="minorHAnsi"/>
                <w:color w:val="000000"/>
                <w:sz w:val="20"/>
                <w:szCs w:val="20"/>
              </w:rPr>
            </w:pPr>
            <w:r w:rsidRPr="00D40E11">
              <w:rPr>
                <w:rFonts w:cstheme="minorHAnsi"/>
                <w:color w:val="000000"/>
                <w:sz w:val="20"/>
                <w:szCs w:val="20"/>
              </w:rPr>
              <w:t>Moderate influence</w:t>
            </w:r>
          </w:p>
        </w:tc>
        <w:tc>
          <w:tcPr>
            <w:tcW w:w="1502" w:type="dxa"/>
            <w:tcBorders>
              <w:top w:val="nil"/>
              <w:left w:val="single" w:sz="4" w:space="0" w:color="auto"/>
              <w:bottom w:val="single" w:sz="4" w:space="0" w:color="auto"/>
              <w:right w:val="single" w:sz="4" w:space="0" w:color="auto"/>
            </w:tcBorders>
            <w:shd w:val="clear" w:color="auto" w:fill="auto"/>
            <w:vAlign w:val="center"/>
          </w:tcPr>
          <w:p w:rsidR="00811F9F" w:rsidRPr="00D40E11" w:rsidRDefault="00811F9F" w:rsidP="00A77A90">
            <w:pPr>
              <w:rPr>
                <w:rFonts w:cstheme="minorHAnsi"/>
                <w:color w:val="000000"/>
                <w:sz w:val="20"/>
                <w:szCs w:val="20"/>
              </w:rPr>
            </w:pPr>
            <w:r w:rsidRPr="00D40E11">
              <w:rPr>
                <w:rFonts w:cstheme="minorHAnsi"/>
                <w:color w:val="000000"/>
                <w:sz w:val="20"/>
                <w:szCs w:val="20"/>
              </w:rPr>
              <w:t>Health</w:t>
            </w:r>
          </w:p>
        </w:tc>
        <w:tc>
          <w:tcPr>
            <w:tcW w:w="2665" w:type="dxa"/>
          </w:tcPr>
          <w:p w:rsidR="00811F9F" w:rsidRDefault="00811F9F" w:rsidP="00A77A90">
            <w:r w:rsidRPr="00821110">
              <w:rPr>
                <w:rFonts w:cstheme="minorHAnsi"/>
                <w:sz w:val="20"/>
                <w:szCs w:val="20"/>
              </w:rPr>
              <w:t>Don’t know</w:t>
            </w:r>
          </w:p>
        </w:tc>
        <w:tc>
          <w:tcPr>
            <w:tcW w:w="2551" w:type="dxa"/>
          </w:tcPr>
          <w:p w:rsidR="00811F9F" w:rsidRPr="00D40E11" w:rsidRDefault="00811F9F" w:rsidP="00A77A90">
            <w:pPr>
              <w:rPr>
                <w:rFonts w:cstheme="minorHAnsi"/>
                <w:sz w:val="20"/>
                <w:szCs w:val="20"/>
              </w:rPr>
            </w:pPr>
            <w:r>
              <w:rPr>
                <w:rFonts w:cstheme="minorHAnsi"/>
                <w:sz w:val="20"/>
                <w:szCs w:val="20"/>
              </w:rPr>
              <w:t>Henderson et al. (2013)</w:t>
            </w:r>
          </w:p>
        </w:tc>
      </w:tr>
      <w:tr w:rsidR="00811F9F" w:rsidTr="00494EAD">
        <w:tc>
          <w:tcPr>
            <w:tcW w:w="510" w:type="dxa"/>
            <w:shd w:val="clear" w:color="auto" w:fill="ABD9F8" w:themeFill="accent1" w:themeFillTint="66"/>
            <w:vAlign w:val="center"/>
          </w:tcPr>
          <w:p w:rsidR="00811F9F" w:rsidRPr="00494EAD" w:rsidRDefault="00811F9F" w:rsidP="00A77A90">
            <w:pPr>
              <w:rPr>
                <w:rFonts w:cstheme="minorHAnsi"/>
                <w:b/>
                <w:i/>
                <w:sz w:val="20"/>
                <w:szCs w:val="20"/>
              </w:rPr>
            </w:pPr>
            <w:r w:rsidRPr="00494EAD">
              <w:rPr>
                <w:rFonts w:cstheme="minorHAnsi"/>
                <w:b/>
                <w:i/>
                <w:sz w:val="20"/>
                <w:szCs w:val="20"/>
              </w:rPr>
              <w:t>5</w:t>
            </w:r>
          </w:p>
        </w:tc>
        <w:tc>
          <w:tcPr>
            <w:tcW w:w="3546" w:type="dxa"/>
            <w:tcBorders>
              <w:top w:val="nil"/>
              <w:left w:val="single" w:sz="4" w:space="0" w:color="auto"/>
              <w:bottom w:val="single" w:sz="4" w:space="0" w:color="auto"/>
              <w:right w:val="single" w:sz="4" w:space="0" w:color="auto"/>
            </w:tcBorders>
            <w:shd w:val="clear" w:color="auto" w:fill="ABD9F8" w:themeFill="accent1" w:themeFillTint="66"/>
            <w:vAlign w:val="center"/>
          </w:tcPr>
          <w:p w:rsidR="00811F9F" w:rsidRPr="00D40E11" w:rsidRDefault="00811F9F" w:rsidP="00A77A90">
            <w:pPr>
              <w:rPr>
                <w:rFonts w:cstheme="minorHAnsi"/>
                <w:color w:val="000000"/>
                <w:sz w:val="20"/>
                <w:szCs w:val="20"/>
              </w:rPr>
            </w:pPr>
            <w:r w:rsidRPr="00D40E11">
              <w:rPr>
                <w:rFonts w:cstheme="minorHAnsi"/>
                <w:color w:val="000000"/>
                <w:sz w:val="20"/>
                <w:szCs w:val="20"/>
              </w:rPr>
              <w:t>Little influence</w:t>
            </w:r>
          </w:p>
        </w:tc>
        <w:tc>
          <w:tcPr>
            <w:tcW w:w="1502" w:type="dxa"/>
            <w:tcBorders>
              <w:top w:val="nil"/>
              <w:left w:val="single" w:sz="4" w:space="0" w:color="auto"/>
              <w:bottom w:val="single" w:sz="4" w:space="0" w:color="auto"/>
              <w:right w:val="single" w:sz="4" w:space="0" w:color="auto"/>
            </w:tcBorders>
            <w:shd w:val="clear" w:color="auto" w:fill="ABD9F8" w:themeFill="accent1" w:themeFillTint="66"/>
            <w:vAlign w:val="center"/>
          </w:tcPr>
          <w:p w:rsidR="00811F9F" w:rsidRPr="00D40E11" w:rsidRDefault="00811F9F" w:rsidP="00A77A90">
            <w:pPr>
              <w:rPr>
                <w:rFonts w:cstheme="minorHAnsi"/>
                <w:color w:val="000000"/>
                <w:sz w:val="20"/>
                <w:szCs w:val="20"/>
              </w:rPr>
            </w:pPr>
            <w:r w:rsidRPr="00D40E11">
              <w:rPr>
                <w:rFonts w:cstheme="minorHAnsi"/>
                <w:color w:val="000000"/>
                <w:sz w:val="20"/>
                <w:szCs w:val="20"/>
              </w:rPr>
              <w:t>Health</w:t>
            </w:r>
          </w:p>
        </w:tc>
        <w:tc>
          <w:tcPr>
            <w:tcW w:w="2665" w:type="dxa"/>
            <w:shd w:val="clear" w:color="auto" w:fill="ABD9F8" w:themeFill="accent1" w:themeFillTint="66"/>
          </w:tcPr>
          <w:p w:rsidR="00811F9F" w:rsidRDefault="00811F9F" w:rsidP="00A77A90">
            <w:r w:rsidRPr="00821110">
              <w:rPr>
                <w:rFonts w:cstheme="minorHAnsi"/>
                <w:sz w:val="20"/>
                <w:szCs w:val="20"/>
              </w:rPr>
              <w:t>Don’t know</w:t>
            </w:r>
          </w:p>
        </w:tc>
        <w:tc>
          <w:tcPr>
            <w:tcW w:w="2551" w:type="dxa"/>
            <w:shd w:val="clear" w:color="auto" w:fill="ABD9F8" w:themeFill="accent1" w:themeFillTint="66"/>
          </w:tcPr>
          <w:p w:rsidR="00811F9F" w:rsidRPr="00D40E11" w:rsidRDefault="00811F9F" w:rsidP="00A77A90">
            <w:pPr>
              <w:rPr>
                <w:rFonts w:cstheme="minorHAnsi"/>
                <w:sz w:val="20"/>
                <w:szCs w:val="20"/>
              </w:rPr>
            </w:pPr>
            <w:r>
              <w:rPr>
                <w:rFonts w:cstheme="minorHAnsi"/>
                <w:sz w:val="20"/>
                <w:szCs w:val="20"/>
              </w:rPr>
              <w:t>Marshall et al. (2014)</w:t>
            </w:r>
          </w:p>
        </w:tc>
      </w:tr>
      <w:tr w:rsidR="00811F9F" w:rsidTr="00A77A90">
        <w:tc>
          <w:tcPr>
            <w:tcW w:w="510" w:type="dxa"/>
            <w:vAlign w:val="center"/>
          </w:tcPr>
          <w:p w:rsidR="00811F9F" w:rsidRPr="00494EAD" w:rsidRDefault="00811F9F" w:rsidP="00A77A90">
            <w:pPr>
              <w:rPr>
                <w:rFonts w:cstheme="minorHAnsi"/>
                <w:b/>
                <w:i/>
                <w:sz w:val="20"/>
                <w:szCs w:val="20"/>
              </w:rPr>
            </w:pPr>
            <w:r w:rsidRPr="00494EAD">
              <w:rPr>
                <w:rFonts w:cstheme="minorHAnsi"/>
                <w:b/>
                <w:i/>
                <w:sz w:val="20"/>
                <w:szCs w:val="20"/>
              </w:rPr>
              <w:t>6</w:t>
            </w:r>
          </w:p>
        </w:tc>
        <w:tc>
          <w:tcPr>
            <w:tcW w:w="3546" w:type="dxa"/>
            <w:tcBorders>
              <w:top w:val="nil"/>
              <w:left w:val="single" w:sz="4" w:space="0" w:color="auto"/>
              <w:bottom w:val="single" w:sz="4" w:space="0" w:color="auto"/>
              <w:right w:val="single" w:sz="4" w:space="0" w:color="auto"/>
            </w:tcBorders>
            <w:shd w:val="clear" w:color="auto" w:fill="auto"/>
            <w:vAlign w:val="center"/>
          </w:tcPr>
          <w:p w:rsidR="00811F9F" w:rsidRPr="00D40E11" w:rsidRDefault="00811F9F" w:rsidP="00A77A90">
            <w:pPr>
              <w:rPr>
                <w:rFonts w:cstheme="minorHAnsi"/>
                <w:color w:val="000000"/>
                <w:sz w:val="20"/>
                <w:szCs w:val="20"/>
              </w:rPr>
            </w:pPr>
            <w:r w:rsidRPr="00D40E11">
              <w:rPr>
                <w:rFonts w:cstheme="minorHAnsi"/>
                <w:color w:val="000000"/>
                <w:sz w:val="20"/>
                <w:szCs w:val="20"/>
              </w:rPr>
              <w:t>Don't know</w:t>
            </w:r>
          </w:p>
        </w:tc>
        <w:tc>
          <w:tcPr>
            <w:tcW w:w="1502" w:type="dxa"/>
            <w:tcBorders>
              <w:top w:val="nil"/>
              <w:left w:val="single" w:sz="4" w:space="0" w:color="auto"/>
              <w:bottom w:val="single" w:sz="4" w:space="0" w:color="auto"/>
              <w:right w:val="single" w:sz="4" w:space="0" w:color="auto"/>
            </w:tcBorders>
            <w:shd w:val="clear" w:color="auto" w:fill="auto"/>
            <w:vAlign w:val="center"/>
          </w:tcPr>
          <w:p w:rsidR="00811F9F" w:rsidRPr="00D40E11" w:rsidRDefault="00811F9F" w:rsidP="00A77A90">
            <w:pPr>
              <w:rPr>
                <w:rFonts w:cstheme="minorHAnsi"/>
                <w:color w:val="000000"/>
                <w:sz w:val="20"/>
                <w:szCs w:val="20"/>
              </w:rPr>
            </w:pPr>
            <w:r w:rsidRPr="00D40E11">
              <w:rPr>
                <w:rFonts w:cstheme="minorHAnsi"/>
                <w:color w:val="000000"/>
                <w:sz w:val="20"/>
                <w:szCs w:val="20"/>
              </w:rPr>
              <w:t>Infrastructure</w:t>
            </w:r>
          </w:p>
        </w:tc>
        <w:tc>
          <w:tcPr>
            <w:tcW w:w="2665" w:type="dxa"/>
          </w:tcPr>
          <w:p w:rsidR="00811F9F" w:rsidRPr="00D40E11" w:rsidRDefault="00811F9F" w:rsidP="00A77A90">
            <w:pPr>
              <w:rPr>
                <w:rFonts w:cstheme="minorHAnsi"/>
                <w:sz w:val="20"/>
                <w:szCs w:val="20"/>
              </w:rPr>
            </w:pPr>
            <w:r w:rsidRPr="00821110">
              <w:rPr>
                <w:rFonts w:cstheme="minorHAnsi"/>
                <w:sz w:val="20"/>
                <w:szCs w:val="20"/>
              </w:rPr>
              <w:t>Don’t know</w:t>
            </w:r>
          </w:p>
        </w:tc>
        <w:tc>
          <w:tcPr>
            <w:tcW w:w="2551" w:type="dxa"/>
          </w:tcPr>
          <w:p w:rsidR="00811F9F" w:rsidRPr="00D40E11" w:rsidRDefault="00811F9F" w:rsidP="00A77A90">
            <w:pPr>
              <w:rPr>
                <w:rFonts w:cstheme="minorHAnsi"/>
                <w:sz w:val="20"/>
                <w:szCs w:val="20"/>
              </w:rPr>
            </w:pPr>
            <w:r>
              <w:rPr>
                <w:rFonts w:cstheme="minorHAnsi"/>
                <w:sz w:val="20"/>
                <w:szCs w:val="20"/>
              </w:rPr>
              <w:t>Participedia.net. (2018)</w:t>
            </w:r>
          </w:p>
        </w:tc>
      </w:tr>
      <w:tr w:rsidR="00811F9F" w:rsidTr="00494EAD">
        <w:tc>
          <w:tcPr>
            <w:tcW w:w="510" w:type="dxa"/>
            <w:shd w:val="clear" w:color="auto" w:fill="ABD9F8" w:themeFill="accent1" w:themeFillTint="66"/>
            <w:vAlign w:val="center"/>
          </w:tcPr>
          <w:p w:rsidR="00811F9F" w:rsidRPr="00494EAD" w:rsidRDefault="00811F9F" w:rsidP="00A77A90">
            <w:pPr>
              <w:rPr>
                <w:rFonts w:cstheme="minorHAnsi"/>
                <w:b/>
                <w:i/>
                <w:sz w:val="20"/>
                <w:szCs w:val="20"/>
              </w:rPr>
            </w:pPr>
            <w:r w:rsidRPr="00494EAD">
              <w:rPr>
                <w:rFonts w:cstheme="minorHAnsi"/>
                <w:b/>
                <w:i/>
                <w:sz w:val="20"/>
                <w:szCs w:val="20"/>
              </w:rPr>
              <w:t>7</w:t>
            </w:r>
          </w:p>
        </w:tc>
        <w:tc>
          <w:tcPr>
            <w:tcW w:w="3546" w:type="dxa"/>
            <w:tcBorders>
              <w:top w:val="nil"/>
              <w:left w:val="single" w:sz="4" w:space="0" w:color="auto"/>
              <w:bottom w:val="single" w:sz="4" w:space="0" w:color="auto"/>
              <w:right w:val="single" w:sz="4" w:space="0" w:color="auto"/>
            </w:tcBorders>
            <w:shd w:val="clear" w:color="auto" w:fill="ABD9F8" w:themeFill="accent1" w:themeFillTint="66"/>
            <w:vAlign w:val="center"/>
          </w:tcPr>
          <w:p w:rsidR="00811F9F" w:rsidRPr="00D40E11" w:rsidRDefault="00811F9F" w:rsidP="00A77A90">
            <w:pPr>
              <w:rPr>
                <w:rFonts w:cstheme="minorHAnsi"/>
                <w:color w:val="000000"/>
                <w:sz w:val="20"/>
                <w:szCs w:val="20"/>
              </w:rPr>
            </w:pPr>
            <w:r w:rsidRPr="00D40E11">
              <w:rPr>
                <w:rFonts w:cstheme="minorHAnsi"/>
                <w:color w:val="000000"/>
                <w:sz w:val="20"/>
                <w:szCs w:val="20"/>
              </w:rPr>
              <w:t>Don't know</w:t>
            </w:r>
          </w:p>
        </w:tc>
        <w:tc>
          <w:tcPr>
            <w:tcW w:w="1502" w:type="dxa"/>
            <w:tcBorders>
              <w:top w:val="nil"/>
              <w:left w:val="single" w:sz="4" w:space="0" w:color="auto"/>
              <w:bottom w:val="single" w:sz="4" w:space="0" w:color="auto"/>
              <w:right w:val="single" w:sz="4" w:space="0" w:color="auto"/>
            </w:tcBorders>
            <w:shd w:val="clear" w:color="auto" w:fill="ABD9F8" w:themeFill="accent1" w:themeFillTint="66"/>
            <w:vAlign w:val="center"/>
          </w:tcPr>
          <w:p w:rsidR="00811F9F" w:rsidRPr="00D40E11" w:rsidRDefault="00811F9F" w:rsidP="00A77A90">
            <w:pPr>
              <w:rPr>
                <w:rFonts w:cstheme="minorHAnsi"/>
                <w:color w:val="000000"/>
                <w:sz w:val="20"/>
                <w:szCs w:val="20"/>
              </w:rPr>
            </w:pPr>
            <w:r w:rsidRPr="00D40E11">
              <w:rPr>
                <w:rFonts w:cstheme="minorHAnsi"/>
                <w:color w:val="000000"/>
                <w:sz w:val="20"/>
                <w:szCs w:val="20"/>
              </w:rPr>
              <w:t>Health</w:t>
            </w:r>
          </w:p>
        </w:tc>
        <w:tc>
          <w:tcPr>
            <w:tcW w:w="2665" w:type="dxa"/>
            <w:shd w:val="clear" w:color="auto" w:fill="ABD9F8" w:themeFill="accent1" w:themeFillTint="66"/>
          </w:tcPr>
          <w:p w:rsidR="00811F9F" w:rsidRPr="00D40E11" w:rsidRDefault="00811F9F" w:rsidP="00A77A90">
            <w:pPr>
              <w:rPr>
                <w:rFonts w:cstheme="minorHAnsi"/>
                <w:sz w:val="20"/>
                <w:szCs w:val="20"/>
              </w:rPr>
            </w:pPr>
            <w:r w:rsidRPr="00821110">
              <w:rPr>
                <w:rFonts w:cstheme="minorHAnsi"/>
                <w:sz w:val="20"/>
                <w:szCs w:val="20"/>
              </w:rPr>
              <w:t>Don’t know</w:t>
            </w:r>
          </w:p>
        </w:tc>
        <w:tc>
          <w:tcPr>
            <w:tcW w:w="2551" w:type="dxa"/>
            <w:shd w:val="clear" w:color="auto" w:fill="ABD9F8" w:themeFill="accent1" w:themeFillTint="66"/>
          </w:tcPr>
          <w:p w:rsidR="00811F9F" w:rsidRPr="00D40E11" w:rsidRDefault="00811F9F" w:rsidP="00A77A90">
            <w:pPr>
              <w:rPr>
                <w:rFonts w:cstheme="minorHAnsi"/>
                <w:sz w:val="20"/>
                <w:szCs w:val="20"/>
              </w:rPr>
            </w:pPr>
            <w:proofErr w:type="spellStart"/>
            <w:r>
              <w:rPr>
                <w:rFonts w:cstheme="minorHAnsi"/>
                <w:sz w:val="20"/>
                <w:szCs w:val="20"/>
              </w:rPr>
              <w:t>Moretto</w:t>
            </w:r>
            <w:proofErr w:type="spellEnd"/>
            <w:r>
              <w:rPr>
                <w:rFonts w:cstheme="minorHAnsi"/>
                <w:sz w:val="20"/>
                <w:szCs w:val="20"/>
              </w:rPr>
              <w:t xml:space="preserve"> et al. (2014)</w:t>
            </w:r>
          </w:p>
        </w:tc>
      </w:tr>
      <w:tr w:rsidR="00811F9F" w:rsidTr="00A77A90">
        <w:tc>
          <w:tcPr>
            <w:tcW w:w="510" w:type="dxa"/>
            <w:vAlign w:val="center"/>
          </w:tcPr>
          <w:p w:rsidR="00811F9F" w:rsidRPr="00494EAD" w:rsidRDefault="00811F9F" w:rsidP="00A77A90">
            <w:pPr>
              <w:rPr>
                <w:rFonts w:cstheme="minorHAnsi"/>
                <w:b/>
                <w:i/>
                <w:sz w:val="20"/>
                <w:szCs w:val="20"/>
              </w:rPr>
            </w:pPr>
            <w:r w:rsidRPr="00494EAD">
              <w:rPr>
                <w:rFonts w:cstheme="minorHAnsi"/>
                <w:b/>
                <w:i/>
                <w:sz w:val="20"/>
                <w:szCs w:val="20"/>
              </w:rPr>
              <w:t>8</w:t>
            </w:r>
          </w:p>
        </w:tc>
        <w:tc>
          <w:tcPr>
            <w:tcW w:w="3546" w:type="dxa"/>
            <w:tcBorders>
              <w:top w:val="nil"/>
              <w:left w:val="single" w:sz="4" w:space="0" w:color="auto"/>
              <w:bottom w:val="single" w:sz="4" w:space="0" w:color="auto"/>
              <w:right w:val="single" w:sz="4" w:space="0" w:color="auto"/>
            </w:tcBorders>
            <w:shd w:val="clear" w:color="000000" w:fill="FFFFFF"/>
            <w:vAlign w:val="center"/>
          </w:tcPr>
          <w:p w:rsidR="00811F9F" w:rsidRPr="00D40E11" w:rsidRDefault="00811F9F" w:rsidP="00A77A90">
            <w:pPr>
              <w:rPr>
                <w:rFonts w:cstheme="minorHAnsi"/>
                <w:color w:val="000000"/>
                <w:sz w:val="20"/>
                <w:szCs w:val="20"/>
              </w:rPr>
            </w:pPr>
            <w:r w:rsidRPr="00D40E11">
              <w:rPr>
                <w:rFonts w:cstheme="minorHAnsi"/>
                <w:color w:val="000000"/>
                <w:sz w:val="20"/>
                <w:szCs w:val="20"/>
              </w:rPr>
              <w:t>Moderate influence (many references to endorsing initiatives in report and recognition of what is already being done)</w:t>
            </w:r>
          </w:p>
        </w:tc>
        <w:tc>
          <w:tcPr>
            <w:tcW w:w="1502" w:type="dxa"/>
            <w:tcBorders>
              <w:top w:val="nil"/>
              <w:left w:val="single" w:sz="4" w:space="0" w:color="auto"/>
              <w:bottom w:val="single" w:sz="4" w:space="0" w:color="auto"/>
              <w:right w:val="single" w:sz="4" w:space="0" w:color="auto"/>
            </w:tcBorders>
            <w:shd w:val="clear" w:color="000000" w:fill="FFFFFF"/>
            <w:vAlign w:val="center"/>
          </w:tcPr>
          <w:p w:rsidR="00811F9F" w:rsidRPr="00D40E11" w:rsidRDefault="00811F9F" w:rsidP="00A77A90">
            <w:pPr>
              <w:rPr>
                <w:rFonts w:cstheme="minorHAnsi"/>
                <w:color w:val="000000"/>
                <w:sz w:val="20"/>
                <w:szCs w:val="20"/>
              </w:rPr>
            </w:pPr>
            <w:r w:rsidRPr="00D40E11">
              <w:rPr>
                <w:rFonts w:cstheme="minorHAnsi"/>
                <w:color w:val="000000"/>
                <w:sz w:val="20"/>
                <w:szCs w:val="20"/>
              </w:rPr>
              <w:t>Crime</w:t>
            </w:r>
          </w:p>
        </w:tc>
        <w:tc>
          <w:tcPr>
            <w:tcW w:w="2665" w:type="dxa"/>
          </w:tcPr>
          <w:p w:rsidR="00811F9F" w:rsidRPr="00D40E11" w:rsidRDefault="00811F9F" w:rsidP="00A77A90">
            <w:pPr>
              <w:rPr>
                <w:rFonts w:cstheme="minorHAnsi"/>
                <w:sz w:val="20"/>
                <w:szCs w:val="20"/>
              </w:rPr>
            </w:pPr>
            <w:r w:rsidRPr="00D40E11">
              <w:rPr>
                <w:rFonts w:cstheme="minorHAnsi"/>
                <w:sz w:val="20"/>
                <w:szCs w:val="20"/>
              </w:rPr>
              <w:t>Recommendation to Mayor, with commitment to respond to each, questions asked in Parliament</w:t>
            </w:r>
          </w:p>
        </w:tc>
        <w:tc>
          <w:tcPr>
            <w:tcW w:w="2551" w:type="dxa"/>
          </w:tcPr>
          <w:p w:rsidR="00811F9F" w:rsidRPr="00D40E11" w:rsidRDefault="00811F9F" w:rsidP="00A77A90">
            <w:pPr>
              <w:rPr>
                <w:rFonts w:cstheme="minorHAnsi"/>
                <w:sz w:val="20"/>
                <w:szCs w:val="20"/>
              </w:rPr>
            </w:pPr>
            <w:r>
              <w:rPr>
                <w:rFonts w:cstheme="minorHAnsi"/>
                <w:sz w:val="20"/>
                <w:szCs w:val="20"/>
              </w:rPr>
              <w:t>New Democracy Foundation (2014)</w:t>
            </w:r>
          </w:p>
        </w:tc>
      </w:tr>
      <w:tr w:rsidR="00811F9F" w:rsidTr="00494EAD">
        <w:tc>
          <w:tcPr>
            <w:tcW w:w="510" w:type="dxa"/>
            <w:shd w:val="clear" w:color="auto" w:fill="ABD9F8" w:themeFill="accent1" w:themeFillTint="66"/>
            <w:vAlign w:val="center"/>
          </w:tcPr>
          <w:p w:rsidR="00811F9F" w:rsidRPr="00494EAD" w:rsidRDefault="00811F9F" w:rsidP="00A77A90">
            <w:pPr>
              <w:rPr>
                <w:rFonts w:cstheme="minorHAnsi"/>
                <w:b/>
                <w:i/>
                <w:sz w:val="20"/>
                <w:szCs w:val="20"/>
              </w:rPr>
            </w:pPr>
            <w:r w:rsidRPr="00494EAD">
              <w:rPr>
                <w:rFonts w:cstheme="minorHAnsi"/>
                <w:b/>
                <w:i/>
                <w:sz w:val="20"/>
                <w:szCs w:val="20"/>
              </w:rPr>
              <w:t>9</w:t>
            </w:r>
          </w:p>
        </w:tc>
        <w:tc>
          <w:tcPr>
            <w:tcW w:w="3546" w:type="dxa"/>
            <w:tcBorders>
              <w:top w:val="nil"/>
              <w:left w:val="single" w:sz="4" w:space="0" w:color="auto"/>
              <w:bottom w:val="single" w:sz="4" w:space="0" w:color="auto"/>
              <w:right w:val="single" w:sz="4" w:space="0" w:color="auto"/>
            </w:tcBorders>
            <w:shd w:val="clear" w:color="auto" w:fill="ABD9F8" w:themeFill="accent1" w:themeFillTint="66"/>
            <w:vAlign w:val="center"/>
          </w:tcPr>
          <w:p w:rsidR="00811F9F" w:rsidRPr="00D40E11" w:rsidRDefault="00811F9F" w:rsidP="00A77A90">
            <w:pPr>
              <w:rPr>
                <w:rFonts w:cstheme="minorHAnsi"/>
                <w:color w:val="000000"/>
                <w:sz w:val="20"/>
                <w:szCs w:val="20"/>
              </w:rPr>
            </w:pPr>
            <w:r w:rsidRPr="00D40E11">
              <w:rPr>
                <w:rFonts w:cstheme="minorHAnsi"/>
                <w:color w:val="000000"/>
                <w:sz w:val="20"/>
                <w:szCs w:val="20"/>
              </w:rPr>
              <w:t xml:space="preserve">Moderate Influence (e.g. Submission are referred to throughout the recommendations report </w:t>
            </w:r>
          </w:p>
        </w:tc>
        <w:tc>
          <w:tcPr>
            <w:tcW w:w="1502" w:type="dxa"/>
            <w:tcBorders>
              <w:top w:val="nil"/>
              <w:left w:val="single" w:sz="4" w:space="0" w:color="auto"/>
              <w:bottom w:val="single" w:sz="4" w:space="0" w:color="auto"/>
              <w:right w:val="single" w:sz="4" w:space="0" w:color="auto"/>
            </w:tcBorders>
            <w:shd w:val="clear" w:color="auto" w:fill="ABD9F8" w:themeFill="accent1" w:themeFillTint="66"/>
            <w:vAlign w:val="center"/>
          </w:tcPr>
          <w:p w:rsidR="00811F9F" w:rsidRPr="00D40E11" w:rsidRDefault="00811F9F" w:rsidP="00A77A90">
            <w:pPr>
              <w:rPr>
                <w:rFonts w:cstheme="minorHAnsi"/>
                <w:color w:val="000000"/>
                <w:sz w:val="20"/>
                <w:szCs w:val="20"/>
              </w:rPr>
            </w:pPr>
            <w:r w:rsidRPr="00D40E11">
              <w:rPr>
                <w:rFonts w:cstheme="minorHAnsi"/>
                <w:color w:val="000000"/>
                <w:sz w:val="20"/>
                <w:szCs w:val="20"/>
              </w:rPr>
              <w:t>Crime</w:t>
            </w:r>
          </w:p>
        </w:tc>
        <w:tc>
          <w:tcPr>
            <w:tcW w:w="2665" w:type="dxa"/>
            <w:shd w:val="clear" w:color="auto" w:fill="ABD9F8" w:themeFill="accent1" w:themeFillTint="66"/>
          </w:tcPr>
          <w:p w:rsidR="00811F9F" w:rsidRPr="00D40E11" w:rsidRDefault="00811F9F" w:rsidP="00A77A90">
            <w:pPr>
              <w:rPr>
                <w:rFonts w:cstheme="minorHAnsi"/>
                <w:sz w:val="20"/>
                <w:szCs w:val="20"/>
              </w:rPr>
            </w:pPr>
            <w:r w:rsidRPr="00D40E11">
              <w:rPr>
                <w:rFonts w:cstheme="minorHAnsi"/>
                <w:sz w:val="20"/>
                <w:szCs w:val="20"/>
              </w:rPr>
              <w:t>Report presented in Parliament (verbatim), criticised for being predictable and 'unsurprising'</w:t>
            </w:r>
          </w:p>
        </w:tc>
        <w:tc>
          <w:tcPr>
            <w:tcW w:w="2551" w:type="dxa"/>
            <w:shd w:val="clear" w:color="auto" w:fill="ABD9F8" w:themeFill="accent1" w:themeFillTint="66"/>
          </w:tcPr>
          <w:p w:rsidR="00811F9F" w:rsidRPr="00D40E11" w:rsidRDefault="00811F9F" w:rsidP="00A77A90">
            <w:pPr>
              <w:rPr>
                <w:rFonts w:cstheme="minorHAnsi"/>
                <w:sz w:val="20"/>
                <w:szCs w:val="20"/>
              </w:rPr>
            </w:pPr>
            <w:r>
              <w:rPr>
                <w:rFonts w:cstheme="minorHAnsi"/>
                <w:sz w:val="20"/>
                <w:szCs w:val="20"/>
              </w:rPr>
              <w:t>New Democracy Foundation (2013)</w:t>
            </w:r>
          </w:p>
        </w:tc>
      </w:tr>
      <w:tr w:rsidR="00811F9F" w:rsidTr="00A77A90">
        <w:tc>
          <w:tcPr>
            <w:tcW w:w="510" w:type="dxa"/>
            <w:vAlign w:val="center"/>
          </w:tcPr>
          <w:p w:rsidR="00811F9F" w:rsidRPr="00494EAD" w:rsidRDefault="00811F9F" w:rsidP="00A77A90">
            <w:pPr>
              <w:rPr>
                <w:rFonts w:cstheme="minorHAnsi"/>
                <w:b/>
                <w:i/>
                <w:sz w:val="20"/>
                <w:szCs w:val="20"/>
              </w:rPr>
            </w:pPr>
            <w:r w:rsidRPr="00494EAD">
              <w:rPr>
                <w:rFonts w:cstheme="minorHAnsi"/>
                <w:b/>
                <w:i/>
                <w:sz w:val="20"/>
                <w:szCs w:val="20"/>
              </w:rPr>
              <w:t>10</w:t>
            </w:r>
          </w:p>
        </w:tc>
        <w:tc>
          <w:tcPr>
            <w:tcW w:w="3546" w:type="dxa"/>
            <w:tcBorders>
              <w:top w:val="nil"/>
              <w:left w:val="single" w:sz="4" w:space="0" w:color="auto"/>
              <w:bottom w:val="single" w:sz="4" w:space="0" w:color="auto"/>
              <w:right w:val="single" w:sz="4" w:space="0" w:color="auto"/>
            </w:tcBorders>
            <w:shd w:val="clear" w:color="auto" w:fill="auto"/>
            <w:vAlign w:val="center"/>
          </w:tcPr>
          <w:p w:rsidR="00811F9F" w:rsidRPr="00D40E11" w:rsidRDefault="00811F9F" w:rsidP="00A77A90">
            <w:pPr>
              <w:rPr>
                <w:rFonts w:cstheme="minorHAnsi"/>
                <w:color w:val="000000"/>
                <w:sz w:val="20"/>
                <w:szCs w:val="20"/>
              </w:rPr>
            </w:pPr>
            <w:r w:rsidRPr="00D40E11">
              <w:rPr>
                <w:rFonts w:cstheme="minorHAnsi"/>
                <w:color w:val="000000"/>
                <w:sz w:val="20"/>
                <w:szCs w:val="20"/>
              </w:rPr>
              <w:t>Little influence</w:t>
            </w:r>
          </w:p>
        </w:tc>
        <w:tc>
          <w:tcPr>
            <w:tcW w:w="1502" w:type="dxa"/>
            <w:tcBorders>
              <w:top w:val="nil"/>
              <w:left w:val="single" w:sz="4" w:space="0" w:color="auto"/>
              <w:bottom w:val="single" w:sz="4" w:space="0" w:color="auto"/>
              <w:right w:val="single" w:sz="4" w:space="0" w:color="auto"/>
            </w:tcBorders>
            <w:shd w:val="clear" w:color="auto" w:fill="auto"/>
            <w:vAlign w:val="center"/>
          </w:tcPr>
          <w:p w:rsidR="00811F9F" w:rsidRPr="00D40E11" w:rsidRDefault="00811F9F" w:rsidP="00A77A90">
            <w:pPr>
              <w:rPr>
                <w:rFonts w:cstheme="minorHAnsi"/>
                <w:color w:val="000000"/>
                <w:sz w:val="20"/>
                <w:szCs w:val="20"/>
              </w:rPr>
            </w:pPr>
            <w:r w:rsidRPr="00D40E11">
              <w:rPr>
                <w:rFonts w:cstheme="minorHAnsi"/>
                <w:color w:val="000000"/>
                <w:sz w:val="20"/>
                <w:szCs w:val="20"/>
              </w:rPr>
              <w:t>Health</w:t>
            </w:r>
          </w:p>
        </w:tc>
        <w:tc>
          <w:tcPr>
            <w:tcW w:w="2665" w:type="dxa"/>
          </w:tcPr>
          <w:p w:rsidR="00811F9F" w:rsidRPr="00D40E11" w:rsidRDefault="00811F9F" w:rsidP="00A77A90">
            <w:pPr>
              <w:rPr>
                <w:rFonts w:cstheme="minorHAnsi"/>
                <w:sz w:val="20"/>
                <w:szCs w:val="20"/>
              </w:rPr>
            </w:pPr>
            <w:r w:rsidRPr="00D40E11">
              <w:rPr>
                <w:rFonts w:cstheme="minorHAnsi"/>
                <w:sz w:val="20"/>
                <w:szCs w:val="20"/>
              </w:rPr>
              <w:t>The jurors produced a series of recommendations that were similar to those produced by the inquiry conducted by the Australian Government</w:t>
            </w:r>
          </w:p>
        </w:tc>
        <w:tc>
          <w:tcPr>
            <w:tcW w:w="2551" w:type="dxa"/>
          </w:tcPr>
          <w:p w:rsidR="00811F9F" w:rsidRPr="00D40E11" w:rsidRDefault="00811F9F" w:rsidP="00A77A90">
            <w:pPr>
              <w:rPr>
                <w:rFonts w:cstheme="minorHAnsi"/>
                <w:sz w:val="20"/>
                <w:szCs w:val="20"/>
              </w:rPr>
            </w:pPr>
            <w:proofErr w:type="spellStart"/>
            <w:r>
              <w:rPr>
                <w:rFonts w:cstheme="minorHAnsi"/>
                <w:sz w:val="20"/>
                <w:szCs w:val="20"/>
              </w:rPr>
              <w:t>Withall</w:t>
            </w:r>
            <w:proofErr w:type="spellEnd"/>
            <w:r>
              <w:rPr>
                <w:rFonts w:cstheme="minorHAnsi"/>
                <w:sz w:val="20"/>
                <w:szCs w:val="20"/>
              </w:rPr>
              <w:t xml:space="preserve"> et al. (2016)</w:t>
            </w:r>
          </w:p>
        </w:tc>
      </w:tr>
      <w:tr w:rsidR="00811F9F" w:rsidTr="00494EAD">
        <w:tc>
          <w:tcPr>
            <w:tcW w:w="510" w:type="dxa"/>
            <w:shd w:val="clear" w:color="auto" w:fill="ABD9F8" w:themeFill="accent1" w:themeFillTint="66"/>
            <w:vAlign w:val="center"/>
          </w:tcPr>
          <w:p w:rsidR="00811F9F" w:rsidRPr="00494EAD" w:rsidRDefault="00811F9F" w:rsidP="00A77A90">
            <w:pPr>
              <w:rPr>
                <w:rFonts w:cstheme="minorHAnsi"/>
                <w:b/>
                <w:i/>
                <w:sz w:val="20"/>
                <w:szCs w:val="20"/>
              </w:rPr>
            </w:pPr>
            <w:r w:rsidRPr="00494EAD">
              <w:rPr>
                <w:rFonts w:cstheme="minorHAnsi"/>
                <w:b/>
                <w:i/>
                <w:sz w:val="20"/>
                <w:szCs w:val="20"/>
              </w:rPr>
              <w:t>11</w:t>
            </w:r>
          </w:p>
        </w:tc>
        <w:tc>
          <w:tcPr>
            <w:tcW w:w="3546" w:type="dxa"/>
            <w:tcBorders>
              <w:top w:val="nil"/>
              <w:left w:val="single" w:sz="4" w:space="0" w:color="auto"/>
              <w:bottom w:val="single" w:sz="4" w:space="0" w:color="auto"/>
              <w:right w:val="single" w:sz="4" w:space="0" w:color="auto"/>
            </w:tcBorders>
            <w:shd w:val="clear" w:color="auto" w:fill="ABD9F8" w:themeFill="accent1" w:themeFillTint="66"/>
            <w:vAlign w:val="center"/>
          </w:tcPr>
          <w:p w:rsidR="00811F9F" w:rsidRPr="00D40E11" w:rsidRDefault="00811F9F" w:rsidP="00A77A90">
            <w:pPr>
              <w:rPr>
                <w:rFonts w:cstheme="minorHAnsi"/>
                <w:color w:val="000000"/>
                <w:sz w:val="20"/>
                <w:szCs w:val="20"/>
              </w:rPr>
            </w:pPr>
            <w:r w:rsidRPr="00D40E11">
              <w:rPr>
                <w:rFonts w:cstheme="minorHAnsi"/>
                <w:color w:val="000000"/>
                <w:sz w:val="20"/>
                <w:szCs w:val="20"/>
              </w:rPr>
              <w:t>Don't know</w:t>
            </w:r>
          </w:p>
        </w:tc>
        <w:tc>
          <w:tcPr>
            <w:tcW w:w="1502" w:type="dxa"/>
            <w:tcBorders>
              <w:top w:val="nil"/>
              <w:left w:val="single" w:sz="4" w:space="0" w:color="auto"/>
              <w:bottom w:val="single" w:sz="4" w:space="0" w:color="auto"/>
              <w:right w:val="single" w:sz="4" w:space="0" w:color="auto"/>
            </w:tcBorders>
            <w:shd w:val="clear" w:color="auto" w:fill="ABD9F8" w:themeFill="accent1" w:themeFillTint="66"/>
            <w:vAlign w:val="center"/>
          </w:tcPr>
          <w:p w:rsidR="00811F9F" w:rsidRPr="00D40E11" w:rsidRDefault="00811F9F" w:rsidP="00A77A90">
            <w:pPr>
              <w:rPr>
                <w:rFonts w:cstheme="minorHAnsi"/>
                <w:color w:val="000000"/>
                <w:sz w:val="20"/>
                <w:szCs w:val="20"/>
              </w:rPr>
            </w:pPr>
            <w:r w:rsidRPr="00D40E11">
              <w:rPr>
                <w:rFonts w:cstheme="minorHAnsi"/>
                <w:color w:val="000000"/>
                <w:sz w:val="20"/>
                <w:szCs w:val="20"/>
              </w:rPr>
              <w:t>Infrastructure</w:t>
            </w:r>
          </w:p>
        </w:tc>
        <w:tc>
          <w:tcPr>
            <w:tcW w:w="2665" w:type="dxa"/>
            <w:shd w:val="clear" w:color="auto" w:fill="ABD9F8" w:themeFill="accent1" w:themeFillTint="66"/>
          </w:tcPr>
          <w:p w:rsidR="00811F9F" w:rsidRPr="00D40E11" w:rsidRDefault="00811F9F" w:rsidP="00A77A90">
            <w:pPr>
              <w:rPr>
                <w:rFonts w:cstheme="minorHAnsi"/>
                <w:sz w:val="20"/>
                <w:szCs w:val="20"/>
              </w:rPr>
            </w:pPr>
            <w:r w:rsidRPr="003672BF">
              <w:rPr>
                <w:rFonts w:cstheme="minorHAnsi"/>
                <w:sz w:val="20"/>
                <w:szCs w:val="20"/>
              </w:rPr>
              <w:t>The council provided a detailed and technical response to the jury's recommendations</w:t>
            </w:r>
          </w:p>
        </w:tc>
        <w:tc>
          <w:tcPr>
            <w:tcW w:w="2551" w:type="dxa"/>
            <w:shd w:val="clear" w:color="auto" w:fill="ABD9F8" w:themeFill="accent1" w:themeFillTint="66"/>
          </w:tcPr>
          <w:p w:rsidR="00811F9F" w:rsidRPr="00D40E11" w:rsidRDefault="00811F9F" w:rsidP="00A77A90">
            <w:pPr>
              <w:rPr>
                <w:rFonts w:cstheme="minorHAnsi"/>
                <w:sz w:val="20"/>
                <w:szCs w:val="20"/>
              </w:rPr>
            </w:pPr>
            <w:r>
              <w:rPr>
                <w:rFonts w:cstheme="minorHAnsi"/>
                <w:sz w:val="20"/>
                <w:szCs w:val="20"/>
              </w:rPr>
              <w:t>Chambers (2018)</w:t>
            </w:r>
          </w:p>
        </w:tc>
      </w:tr>
      <w:tr w:rsidR="00811F9F" w:rsidTr="00A77A90">
        <w:tc>
          <w:tcPr>
            <w:tcW w:w="510" w:type="dxa"/>
          </w:tcPr>
          <w:p w:rsidR="00811F9F" w:rsidRPr="00494EAD" w:rsidRDefault="00811F9F" w:rsidP="00A77A90">
            <w:pPr>
              <w:rPr>
                <w:rFonts w:cstheme="minorHAnsi"/>
                <w:b/>
                <w:i/>
                <w:sz w:val="20"/>
                <w:szCs w:val="20"/>
              </w:rPr>
            </w:pPr>
            <w:r w:rsidRPr="00494EAD">
              <w:rPr>
                <w:rFonts w:cstheme="minorHAnsi"/>
                <w:b/>
                <w:i/>
                <w:sz w:val="20"/>
                <w:szCs w:val="20"/>
              </w:rPr>
              <w:t>12</w:t>
            </w:r>
          </w:p>
        </w:tc>
        <w:tc>
          <w:tcPr>
            <w:tcW w:w="3546" w:type="dxa"/>
            <w:tcBorders>
              <w:top w:val="nil"/>
              <w:left w:val="single" w:sz="4" w:space="0" w:color="auto"/>
              <w:bottom w:val="single" w:sz="4" w:space="0" w:color="auto"/>
              <w:right w:val="single" w:sz="4" w:space="0" w:color="auto"/>
            </w:tcBorders>
            <w:shd w:val="clear" w:color="auto" w:fill="auto"/>
            <w:vAlign w:val="center"/>
          </w:tcPr>
          <w:p w:rsidR="00811F9F" w:rsidRPr="00D40E11" w:rsidRDefault="00811F9F" w:rsidP="00A77A90">
            <w:pPr>
              <w:rPr>
                <w:rFonts w:cstheme="minorHAnsi"/>
                <w:color w:val="000000"/>
                <w:sz w:val="20"/>
                <w:szCs w:val="20"/>
              </w:rPr>
            </w:pPr>
            <w:r w:rsidRPr="00D40E11">
              <w:rPr>
                <w:rFonts w:cstheme="minorHAnsi"/>
                <w:color w:val="000000"/>
                <w:sz w:val="20"/>
                <w:szCs w:val="20"/>
              </w:rPr>
              <w:t>Little influence</w:t>
            </w:r>
          </w:p>
        </w:tc>
        <w:tc>
          <w:tcPr>
            <w:tcW w:w="1502" w:type="dxa"/>
            <w:tcBorders>
              <w:top w:val="nil"/>
              <w:left w:val="single" w:sz="4" w:space="0" w:color="auto"/>
              <w:bottom w:val="single" w:sz="4" w:space="0" w:color="auto"/>
              <w:right w:val="single" w:sz="4" w:space="0" w:color="auto"/>
            </w:tcBorders>
            <w:shd w:val="clear" w:color="auto" w:fill="auto"/>
            <w:vAlign w:val="center"/>
          </w:tcPr>
          <w:p w:rsidR="00811F9F" w:rsidRPr="00D40E11" w:rsidRDefault="00811F9F" w:rsidP="00A77A90">
            <w:pPr>
              <w:rPr>
                <w:rFonts w:cstheme="minorHAnsi"/>
                <w:color w:val="000000"/>
                <w:sz w:val="20"/>
                <w:szCs w:val="20"/>
              </w:rPr>
            </w:pPr>
            <w:r w:rsidRPr="00D40E11">
              <w:rPr>
                <w:rFonts w:cstheme="minorHAnsi"/>
                <w:color w:val="000000"/>
                <w:sz w:val="20"/>
                <w:szCs w:val="20"/>
              </w:rPr>
              <w:t>Health</w:t>
            </w:r>
          </w:p>
        </w:tc>
        <w:tc>
          <w:tcPr>
            <w:tcW w:w="2665" w:type="dxa"/>
          </w:tcPr>
          <w:p w:rsidR="00811F9F" w:rsidRPr="00D40E11" w:rsidRDefault="00811F9F" w:rsidP="00A77A90">
            <w:pPr>
              <w:rPr>
                <w:rFonts w:cstheme="minorHAnsi"/>
                <w:sz w:val="20"/>
                <w:szCs w:val="20"/>
              </w:rPr>
            </w:pPr>
            <w:r w:rsidRPr="00821110">
              <w:rPr>
                <w:rFonts w:cstheme="minorHAnsi"/>
                <w:sz w:val="20"/>
                <w:szCs w:val="20"/>
              </w:rPr>
              <w:t>Don’t know</w:t>
            </w:r>
          </w:p>
        </w:tc>
        <w:tc>
          <w:tcPr>
            <w:tcW w:w="2551" w:type="dxa"/>
          </w:tcPr>
          <w:p w:rsidR="00811F9F" w:rsidRPr="00D40E11" w:rsidRDefault="00811F9F" w:rsidP="00A77A90">
            <w:pPr>
              <w:rPr>
                <w:rFonts w:cstheme="minorHAnsi"/>
                <w:sz w:val="20"/>
                <w:szCs w:val="20"/>
              </w:rPr>
            </w:pPr>
            <w:proofErr w:type="spellStart"/>
            <w:r>
              <w:rPr>
                <w:rFonts w:cstheme="minorHAnsi"/>
                <w:sz w:val="20"/>
                <w:szCs w:val="20"/>
              </w:rPr>
              <w:t>Parella</w:t>
            </w:r>
            <w:proofErr w:type="spellEnd"/>
            <w:r>
              <w:rPr>
                <w:rFonts w:cstheme="minorHAnsi"/>
                <w:sz w:val="20"/>
                <w:szCs w:val="20"/>
              </w:rPr>
              <w:t xml:space="preserve"> et al.  (2016)</w:t>
            </w:r>
          </w:p>
        </w:tc>
      </w:tr>
      <w:tr w:rsidR="00811F9F" w:rsidTr="00494EAD">
        <w:tc>
          <w:tcPr>
            <w:tcW w:w="510" w:type="dxa"/>
            <w:shd w:val="clear" w:color="auto" w:fill="ABD9F8" w:themeFill="accent1" w:themeFillTint="66"/>
          </w:tcPr>
          <w:p w:rsidR="00811F9F" w:rsidRPr="00494EAD" w:rsidRDefault="00811F9F" w:rsidP="00A77A90">
            <w:pPr>
              <w:rPr>
                <w:rFonts w:cstheme="minorHAnsi"/>
                <w:b/>
                <w:i/>
                <w:sz w:val="20"/>
                <w:szCs w:val="20"/>
              </w:rPr>
            </w:pPr>
            <w:r w:rsidRPr="00494EAD">
              <w:rPr>
                <w:rFonts w:cstheme="minorHAnsi"/>
                <w:b/>
                <w:i/>
                <w:sz w:val="20"/>
                <w:szCs w:val="20"/>
              </w:rPr>
              <w:t>13</w:t>
            </w:r>
          </w:p>
        </w:tc>
        <w:tc>
          <w:tcPr>
            <w:tcW w:w="3546" w:type="dxa"/>
            <w:tcBorders>
              <w:top w:val="nil"/>
              <w:left w:val="single" w:sz="4" w:space="0" w:color="auto"/>
              <w:bottom w:val="single" w:sz="4" w:space="0" w:color="auto"/>
              <w:right w:val="single" w:sz="4" w:space="0" w:color="auto"/>
            </w:tcBorders>
            <w:shd w:val="clear" w:color="auto" w:fill="ABD9F8" w:themeFill="accent1" w:themeFillTint="66"/>
            <w:vAlign w:val="center"/>
          </w:tcPr>
          <w:p w:rsidR="00811F9F" w:rsidRPr="00D40E11" w:rsidRDefault="00811F9F" w:rsidP="00A77A90">
            <w:pPr>
              <w:rPr>
                <w:rFonts w:cstheme="minorHAnsi"/>
                <w:color w:val="000000"/>
                <w:sz w:val="20"/>
                <w:szCs w:val="20"/>
              </w:rPr>
            </w:pPr>
            <w:r w:rsidRPr="00D40E11">
              <w:rPr>
                <w:rFonts w:cstheme="minorHAnsi"/>
                <w:color w:val="000000"/>
                <w:sz w:val="20"/>
                <w:szCs w:val="20"/>
              </w:rPr>
              <w:t>Don't know</w:t>
            </w:r>
          </w:p>
        </w:tc>
        <w:tc>
          <w:tcPr>
            <w:tcW w:w="1502" w:type="dxa"/>
            <w:tcBorders>
              <w:top w:val="nil"/>
              <w:left w:val="single" w:sz="4" w:space="0" w:color="auto"/>
              <w:bottom w:val="single" w:sz="4" w:space="0" w:color="auto"/>
              <w:right w:val="single" w:sz="4" w:space="0" w:color="auto"/>
            </w:tcBorders>
            <w:shd w:val="clear" w:color="auto" w:fill="ABD9F8" w:themeFill="accent1" w:themeFillTint="66"/>
            <w:vAlign w:val="center"/>
          </w:tcPr>
          <w:p w:rsidR="00811F9F" w:rsidRPr="00D40E11" w:rsidRDefault="00811F9F" w:rsidP="00A77A90">
            <w:pPr>
              <w:rPr>
                <w:rFonts w:cstheme="minorHAnsi"/>
                <w:color w:val="000000"/>
                <w:sz w:val="20"/>
                <w:szCs w:val="20"/>
              </w:rPr>
            </w:pPr>
            <w:r w:rsidRPr="00D40E11">
              <w:rPr>
                <w:rFonts w:cstheme="minorHAnsi"/>
                <w:color w:val="000000"/>
                <w:sz w:val="20"/>
                <w:szCs w:val="20"/>
              </w:rPr>
              <w:t>Health</w:t>
            </w:r>
          </w:p>
        </w:tc>
        <w:tc>
          <w:tcPr>
            <w:tcW w:w="2665" w:type="dxa"/>
            <w:shd w:val="clear" w:color="auto" w:fill="ABD9F8" w:themeFill="accent1" w:themeFillTint="66"/>
          </w:tcPr>
          <w:p w:rsidR="00811F9F" w:rsidRPr="00D40E11" w:rsidRDefault="00811F9F" w:rsidP="00A77A90">
            <w:pPr>
              <w:rPr>
                <w:rFonts w:cstheme="minorHAnsi"/>
                <w:sz w:val="20"/>
                <w:szCs w:val="20"/>
              </w:rPr>
            </w:pPr>
            <w:r w:rsidRPr="00821110">
              <w:rPr>
                <w:rFonts w:cstheme="minorHAnsi"/>
                <w:sz w:val="20"/>
                <w:szCs w:val="20"/>
              </w:rPr>
              <w:t>Don’t know</w:t>
            </w:r>
          </w:p>
        </w:tc>
        <w:tc>
          <w:tcPr>
            <w:tcW w:w="2551" w:type="dxa"/>
            <w:shd w:val="clear" w:color="auto" w:fill="ABD9F8" w:themeFill="accent1" w:themeFillTint="66"/>
          </w:tcPr>
          <w:p w:rsidR="00811F9F" w:rsidRPr="00D40E11" w:rsidRDefault="00811F9F" w:rsidP="00A77A90">
            <w:pPr>
              <w:rPr>
                <w:rFonts w:cstheme="minorHAnsi"/>
                <w:sz w:val="20"/>
                <w:szCs w:val="20"/>
              </w:rPr>
            </w:pPr>
            <w:r>
              <w:rPr>
                <w:rFonts w:cstheme="minorHAnsi"/>
                <w:sz w:val="20"/>
                <w:szCs w:val="20"/>
              </w:rPr>
              <w:t>Street et al. (2017)</w:t>
            </w:r>
          </w:p>
        </w:tc>
      </w:tr>
      <w:tr w:rsidR="00811F9F" w:rsidTr="00A77A90">
        <w:tc>
          <w:tcPr>
            <w:tcW w:w="510" w:type="dxa"/>
          </w:tcPr>
          <w:p w:rsidR="00811F9F" w:rsidRPr="00494EAD" w:rsidRDefault="00811F9F" w:rsidP="00A77A90">
            <w:pPr>
              <w:rPr>
                <w:rFonts w:cstheme="minorHAnsi"/>
                <w:b/>
                <w:i/>
                <w:sz w:val="20"/>
                <w:szCs w:val="20"/>
              </w:rPr>
            </w:pPr>
            <w:r w:rsidRPr="00494EAD">
              <w:rPr>
                <w:rFonts w:cstheme="minorHAnsi"/>
                <w:b/>
                <w:i/>
                <w:sz w:val="20"/>
                <w:szCs w:val="20"/>
              </w:rPr>
              <w:t>14</w:t>
            </w:r>
          </w:p>
        </w:tc>
        <w:tc>
          <w:tcPr>
            <w:tcW w:w="3546" w:type="dxa"/>
            <w:tcBorders>
              <w:top w:val="nil"/>
              <w:left w:val="single" w:sz="4" w:space="0" w:color="auto"/>
              <w:bottom w:val="single" w:sz="4" w:space="0" w:color="auto"/>
              <w:right w:val="single" w:sz="4" w:space="0" w:color="auto"/>
            </w:tcBorders>
            <w:shd w:val="clear" w:color="000000" w:fill="FFFFFF"/>
            <w:vAlign w:val="center"/>
          </w:tcPr>
          <w:p w:rsidR="00811F9F" w:rsidRPr="00D40E11" w:rsidRDefault="00811F9F" w:rsidP="00A77A90">
            <w:pPr>
              <w:rPr>
                <w:rFonts w:cstheme="minorHAnsi"/>
                <w:color w:val="000000"/>
                <w:sz w:val="20"/>
                <w:szCs w:val="20"/>
              </w:rPr>
            </w:pPr>
            <w:r w:rsidRPr="00D40E11">
              <w:rPr>
                <w:rFonts w:cstheme="minorHAnsi"/>
                <w:color w:val="000000"/>
                <w:sz w:val="20"/>
                <w:szCs w:val="20"/>
              </w:rPr>
              <w:t>Moderate influence</w:t>
            </w:r>
          </w:p>
        </w:tc>
        <w:tc>
          <w:tcPr>
            <w:tcW w:w="1502" w:type="dxa"/>
            <w:tcBorders>
              <w:top w:val="nil"/>
              <w:left w:val="single" w:sz="4" w:space="0" w:color="auto"/>
              <w:bottom w:val="single" w:sz="4" w:space="0" w:color="auto"/>
              <w:right w:val="single" w:sz="4" w:space="0" w:color="auto"/>
            </w:tcBorders>
            <w:shd w:val="clear" w:color="000000" w:fill="FFFFFF"/>
            <w:vAlign w:val="center"/>
          </w:tcPr>
          <w:p w:rsidR="00811F9F" w:rsidRPr="00D40E11" w:rsidRDefault="00811F9F" w:rsidP="00A77A90">
            <w:pPr>
              <w:rPr>
                <w:rFonts w:cstheme="minorHAnsi"/>
                <w:color w:val="000000"/>
                <w:sz w:val="20"/>
                <w:szCs w:val="20"/>
              </w:rPr>
            </w:pPr>
            <w:r w:rsidRPr="00D40E11">
              <w:rPr>
                <w:rFonts w:cstheme="minorHAnsi"/>
                <w:color w:val="000000"/>
                <w:sz w:val="20"/>
                <w:szCs w:val="20"/>
              </w:rPr>
              <w:t>Health</w:t>
            </w:r>
          </w:p>
        </w:tc>
        <w:tc>
          <w:tcPr>
            <w:tcW w:w="2665" w:type="dxa"/>
          </w:tcPr>
          <w:p w:rsidR="00811F9F" w:rsidRPr="00D40E11" w:rsidRDefault="00811F9F" w:rsidP="00A77A90">
            <w:pPr>
              <w:rPr>
                <w:rFonts w:cstheme="minorHAnsi"/>
                <w:sz w:val="20"/>
                <w:szCs w:val="20"/>
              </w:rPr>
            </w:pPr>
            <w:r w:rsidRPr="003672BF">
              <w:rPr>
                <w:rFonts w:cstheme="minorHAnsi"/>
                <w:sz w:val="20"/>
                <w:szCs w:val="20"/>
              </w:rPr>
              <w:t>50% of stakeholder said they would use the recommendations in the report</w:t>
            </w:r>
          </w:p>
        </w:tc>
        <w:tc>
          <w:tcPr>
            <w:tcW w:w="2551" w:type="dxa"/>
          </w:tcPr>
          <w:p w:rsidR="00811F9F" w:rsidRPr="00D40E11" w:rsidRDefault="00811F9F" w:rsidP="00A77A90">
            <w:pPr>
              <w:rPr>
                <w:rFonts w:cstheme="minorHAnsi"/>
                <w:sz w:val="20"/>
                <w:szCs w:val="20"/>
              </w:rPr>
            </w:pPr>
            <w:r>
              <w:rPr>
                <w:rFonts w:cstheme="minorHAnsi"/>
                <w:sz w:val="20"/>
                <w:szCs w:val="20"/>
              </w:rPr>
              <w:t>VicHealth (2016)</w:t>
            </w:r>
          </w:p>
        </w:tc>
      </w:tr>
      <w:tr w:rsidR="00811F9F" w:rsidTr="00494EAD">
        <w:tc>
          <w:tcPr>
            <w:tcW w:w="510" w:type="dxa"/>
            <w:shd w:val="clear" w:color="auto" w:fill="ABD9F8" w:themeFill="accent1" w:themeFillTint="66"/>
          </w:tcPr>
          <w:p w:rsidR="00811F9F" w:rsidRPr="00494EAD" w:rsidRDefault="00811F9F" w:rsidP="00A77A90">
            <w:pPr>
              <w:rPr>
                <w:rFonts w:cstheme="minorHAnsi"/>
                <w:b/>
                <w:i/>
                <w:sz w:val="20"/>
                <w:szCs w:val="20"/>
              </w:rPr>
            </w:pPr>
            <w:r w:rsidRPr="00494EAD">
              <w:rPr>
                <w:rFonts w:cstheme="minorHAnsi"/>
                <w:b/>
                <w:i/>
                <w:sz w:val="20"/>
                <w:szCs w:val="20"/>
              </w:rPr>
              <w:t>15</w:t>
            </w:r>
          </w:p>
        </w:tc>
        <w:tc>
          <w:tcPr>
            <w:tcW w:w="3546" w:type="dxa"/>
            <w:tcBorders>
              <w:top w:val="nil"/>
              <w:left w:val="single" w:sz="4" w:space="0" w:color="auto"/>
              <w:bottom w:val="single" w:sz="4" w:space="0" w:color="auto"/>
              <w:right w:val="single" w:sz="4" w:space="0" w:color="auto"/>
            </w:tcBorders>
            <w:shd w:val="clear" w:color="auto" w:fill="ABD9F8" w:themeFill="accent1" w:themeFillTint="66"/>
            <w:vAlign w:val="center"/>
          </w:tcPr>
          <w:p w:rsidR="00811F9F" w:rsidRPr="00D40E11" w:rsidRDefault="00811F9F" w:rsidP="00A77A90">
            <w:pPr>
              <w:rPr>
                <w:rFonts w:cstheme="minorHAnsi"/>
                <w:color w:val="000000"/>
                <w:sz w:val="20"/>
                <w:szCs w:val="20"/>
              </w:rPr>
            </w:pPr>
            <w:r w:rsidRPr="00D40E11">
              <w:rPr>
                <w:rFonts w:cstheme="minorHAnsi"/>
                <w:color w:val="000000"/>
                <w:sz w:val="20"/>
                <w:szCs w:val="20"/>
              </w:rPr>
              <w:t>Don't know</w:t>
            </w:r>
          </w:p>
        </w:tc>
        <w:tc>
          <w:tcPr>
            <w:tcW w:w="1502" w:type="dxa"/>
            <w:tcBorders>
              <w:top w:val="nil"/>
              <w:left w:val="single" w:sz="4" w:space="0" w:color="auto"/>
              <w:bottom w:val="single" w:sz="4" w:space="0" w:color="auto"/>
              <w:right w:val="single" w:sz="4" w:space="0" w:color="auto"/>
            </w:tcBorders>
            <w:shd w:val="clear" w:color="auto" w:fill="ABD9F8" w:themeFill="accent1" w:themeFillTint="66"/>
            <w:vAlign w:val="center"/>
          </w:tcPr>
          <w:p w:rsidR="00811F9F" w:rsidRPr="00D40E11" w:rsidRDefault="00811F9F" w:rsidP="00A77A90">
            <w:pPr>
              <w:rPr>
                <w:rFonts w:cstheme="minorHAnsi"/>
                <w:color w:val="000000"/>
                <w:sz w:val="20"/>
                <w:szCs w:val="20"/>
              </w:rPr>
            </w:pPr>
            <w:r w:rsidRPr="00D40E11">
              <w:rPr>
                <w:rFonts w:cstheme="minorHAnsi"/>
                <w:color w:val="000000"/>
                <w:sz w:val="20"/>
                <w:szCs w:val="20"/>
              </w:rPr>
              <w:t>Crime</w:t>
            </w:r>
          </w:p>
        </w:tc>
        <w:tc>
          <w:tcPr>
            <w:tcW w:w="2665" w:type="dxa"/>
            <w:shd w:val="clear" w:color="auto" w:fill="ABD9F8" w:themeFill="accent1" w:themeFillTint="66"/>
          </w:tcPr>
          <w:p w:rsidR="00811F9F" w:rsidRPr="00D40E11" w:rsidRDefault="00811F9F" w:rsidP="00A77A90">
            <w:pPr>
              <w:rPr>
                <w:rFonts w:cstheme="minorHAnsi"/>
                <w:sz w:val="20"/>
                <w:szCs w:val="20"/>
              </w:rPr>
            </w:pPr>
            <w:r w:rsidRPr="00821110">
              <w:rPr>
                <w:rFonts w:cstheme="minorHAnsi"/>
                <w:sz w:val="20"/>
                <w:szCs w:val="20"/>
              </w:rPr>
              <w:t>Don’t know</w:t>
            </w:r>
          </w:p>
        </w:tc>
        <w:tc>
          <w:tcPr>
            <w:tcW w:w="2551" w:type="dxa"/>
            <w:shd w:val="clear" w:color="auto" w:fill="ABD9F8" w:themeFill="accent1" w:themeFillTint="66"/>
          </w:tcPr>
          <w:p w:rsidR="00811F9F" w:rsidRPr="00D40E11" w:rsidRDefault="00811F9F" w:rsidP="00A77A90">
            <w:pPr>
              <w:rPr>
                <w:rFonts w:cstheme="minorHAnsi"/>
                <w:sz w:val="20"/>
                <w:szCs w:val="20"/>
              </w:rPr>
            </w:pPr>
            <w:r>
              <w:rPr>
                <w:rFonts w:cstheme="minorHAnsi"/>
                <w:sz w:val="20"/>
                <w:szCs w:val="20"/>
              </w:rPr>
              <w:t>Simpson et al. (2015)</w:t>
            </w:r>
          </w:p>
        </w:tc>
      </w:tr>
    </w:tbl>
    <w:p w:rsidR="00E927B0" w:rsidRDefault="00E927B0" w:rsidP="00E927B0">
      <w:pPr>
        <w:jc w:val="both"/>
        <w:rPr>
          <w:i/>
          <w:sz w:val="24"/>
          <w:szCs w:val="24"/>
          <w:lang w:val="it-IT"/>
        </w:rPr>
      </w:pPr>
    </w:p>
    <w:p w:rsidR="00886514" w:rsidRDefault="00886514" w:rsidP="00E927B0">
      <w:pPr>
        <w:jc w:val="both"/>
        <w:rPr>
          <w:i/>
          <w:sz w:val="24"/>
          <w:szCs w:val="24"/>
          <w:lang w:val="it-IT"/>
        </w:rPr>
      </w:pPr>
    </w:p>
    <w:p w:rsidR="00886514" w:rsidRDefault="00886514" w:rsidP="00E927B0">
      <w:pPr>
        <w:jc w:val="both"/>
        <w:rPr>
          <w:i/>
          <w:sz w:val="24"/>
          <w:szCs w:val="24"/>
          <w:lang w:val="it-IT"/>
        </w:rPr>
      </w:pPr>
    </w:p>
    <w:p w:rsidR="00886514" w:rsidRPr="00E927B0" w:rsidRDefault="00886514" w:rsidP="00E927B0">
      <w:pPr>
        <w:jc w:val="both"/>
        <w:rPr>
          <w:i/>
          <w:sz w:val="24"/>
          <w:szCs w:val="24"/>
          <w:lang w:val="it-IT"/>
        </w:rPr>
      </w:pPr>
    </w:p>
    <w:p w:rsidR="00E927B0" w:rsidRPr="0022023D" w:rsidRDefault="00E927B0" w:rsidP="00811F9F">
      <w:pPr>
        <w:numPr>
          <w:ilvl w:val="0"/>
          <w:numId w:val="8"/>
        </w:numPr>
        <w:jc w:val="both"/>
        <w:rPr>
          <w:i/>
          <w:color w:val="0B5484" w:themeColor="accent1" w:themeShade="80"/>
          <w:sz w:val="24"/>
          <w:szCs w:val="24"/>
          <w:lang w:val="it-IT"/>
        </w:rPr>
      </w:pPr>
      <w:r w:rsidRPr="0022023D">
        <w:rPr>
          <w:b/>
          <w:i/>
          <w:color w:val="0B5484" w:themeColor="accent1" w:themeShade="80"/>
          <w:sz w:val="24"/>
          <w:szCs w:val="24"/>
        </w:rPr>
        <w:lastRenderedPageBreak/>
        <w:t>Are there any trends across the cases in each country that suggest certain types of social policy and practice are more open to evidence synthesised by mini-publics than others</w:t>
      </w:r>
      <w:r w:rsidRPr="0022023D">
        <w:rPr>
          <w:i/>
          <w:color w:val="0B5484" w:themeColor="accent1" w:themeShade="80"/>
          <w:sz w:val="24"/>
          <w:szCs w:val="24"/>
        </w:rPr>
        <w:t>?</w:t>
      </w:r>
    </w:p>
    <w:p w:rsidR="00F83B39" w:rsidRDefault="00E927B0" w:rsidP="00E927B0">
      <w:pPr>
        <w:jc w:val="both"/>
        <w:rPr>
          <w:sz w:val="24"/>
          <w:szCs w:val="24"/>
        </w:rPr>
      </w:pPr>
      <w:r w:rsidRPr="00E927B0">
        <w:rPr>
          <w:sz w:val="24"/>
          <w:szCs w:val="24"/>
        </w:rPr>
        <w:t xml:space="preserve">The small number of cases returned were almost all connected to health policy so it is not possible to compare and contrast with other certain types of social policy in the case of Australia and New Zealand. </w:t>
      </w:r>
      <w:r w:rsidR="0022023D">
        <w:rPr>
          <w:sz w:val="24"/>
          <w:szCs w:val="24"/>
        </w:rPr>
        <w:t>H</w:t>
      </w:r>
      <w:r w:rsidRPr="00E927B0">
        <w:rPr>
          <w:sz w:val="24"/>
          <w:szCs w:val="24"/>
        </w:rPr>
        <w:t xml:space="preserve">ealth policy was </w:t>
      </w:r>
      <w:r w:rsidR="0022023D">
        <w:rPr>
          <w:sz w:val="24"/>
          <w:szCs w:val="24"/>
        </w:rPr>
        <w:t>an area</w:t>
      </w:r>
      <w:r w:rsidRPr="00E927B0">
        <w:rPr>
          <w:sz w:val="24"/>
          <w:szCs w:val="24"/>
        </w:rPr>
        <w:t xml:space="preserve"> that lent itself well to evidence synthesis. In each case study examined there seemed to be no problem with citizens understanding the evidence. Health policy appears to be an area where the synthesis of evidence takes place with considerable degrees of success. For example, the citizens’ </w:t>
      </w:r>
      <w:r w:rsidR="00A77A90" w:rsidRPr="00E927B0">
        <w:rPr>
          <w:sz w:val="24"/>
          <w:szCs w:val="24"/>
        </w:rPr>
        <w:t>jury, which looked at prioritizing government funding of adolescent vaccinations (case no. 12),</w:t>
      </w:r>
      <w:r w:rsidRPr="00E927B0">
        <w:rPr>
          <w:sz w:val="24"/>
          <w:szCs w:val="24"/>
        </w:rPr>
        <w:t xml:space="preserve"> presented participants with criteria for deciding funding priorities; these criteria included complex information such as disease severity, transmissibility and cost-effectiveness. What is interesting to note is that the participants were between the ages of 15-19 yet still able to formulate recommendations according t</w:t>
      </w:r>
      <w:r w:rsidR="0022023D">
        <w:rPr>
          <w:sz w:val="24"/>
          <w:szCs w:val="24"/>
        </w:rPr>
        <w:t>o the criteria (</w:t>
      </w:r>
      <w:proofErr w:type="spellStart"/>
      <w:r w:rsidR="0022023D">
        <w:rPr>
          <w:sz w:val="24"/>
          <w:szCs w:val="24"/>
        </w:rPr>
        <w:t>Parrella</w:t>
      </w:r>
      <w:proofErr w:type="spellEnd"/>
      <w:r w:rsidR="0022023D">
        <w:rPr>
          <w:sz w:val="24"/>
          <w:szCs w:val="24"/>
        </w:rPr>
        <w:t xml:space="preserve"> et al.</w:t>
      </w:r>
      <w:r w:rsidRPr="00E927B0">
        <w:rPr>
          <w:sz w:val="24"/>
          <w:szCs w:val="24"/>
        </w:rPr>
        <w:t xml:space="preserve"> 2015). The evidence presented in </w:t>
      </w:r>
      <w:r w:rsidR="002432B3">
        <w:rPr>
          <w:sz w:val="24"/>
          <w:szCs w:val="24"/>
        </w:rPr>
        <w:t xml:space="preserve">an </w:t>
      </w:r>
      <w:r w:rsidRPr="00E927B0">
        <w:rPr>
          <w:sz w:val="24"/>
          <w:szCs w:val="24"/>
        </w:rPr>
        <w:t xml:space="preserve">Australian mini-public on crime </w:t>
      </w:r>
      <w:r w:rsidR="00F851F7">
        <w:rPr>
          <w:sz w:val="24"/>
          <w:szCs w:val="24"/>
        </w:rPr>
        <w:t xml:space="preserve">(case no. 8) </w:t>
      </w:r>
      <w:r w:rsidRPr="00E927B0">
        <w:rPr>
          <w:sz w:val="24"/>
          <w:szCs w:val="24"/>
        </w:rPr>
        <w:t xml:space="preserve">were shown to have an impact on recommendations produced by citizens. For example, in one </w:t>
      </w:r>
      <w:r w:rsidR="00C82A8C" w:rsidRPr="00E927B0">
        <w:rPr>
          <w:sz w:val="24"/>
          <w:szCs w:val="24"/>
        </w:rPr>
        <w:t>report,</w:t>
      </w:r>
      <w:r w:rsidRPr="00E927B0">
        <w:rPr>
          <w:sz w:val="24"/>
          <w:szCs w:val="24"/>
        </w:rPr>
        <w:t xml:space="preserve"> the specific sources of information (submissions from expert witnesses) are referenced directly, and in a report to the Mayor of New South </w:t>
      </w:r>
      <w:r w:rsidR="00C82A8C" w:rsidRPr="00E927B0">
        <w:rPr>
          <w:sz w:val="24"/>
          <w:szCs w:val="24"/>
        </w:rPr>
        <w:t>Wales,</w:t>
      </w:r>
      <w:r w:rsidRPr="00E927B0">
        <w:rPr>
          <w:sz w:val="24"/>
          <w:szCs w:val="24"/>
        </w:rPr>
        <w:t xml:space="preserve"> there are several references to existing initiatives and reviews carried out by experts (New Democracy Foundation 2014). </w:t>
      </w:r>
    </w:p>
    <w:p w:rsidR="00A77A90" w:rsidRPr="00E927B0" w:rsidRDefault="00886514" w:rsidP="00E927B0">
      <w:pPr>
        <w:jc w:val="both"/>
        <w:rPr>
          <w:sz w:val="24"/>
          <w:szCs w:val="24"/>
        </w:rPr>
      </w:pPr>
      <w:r w:rsidRPr="00A77A90">
        <w:rPr>
          <w:noProof/>
          <w:lang w:eastAsia="en-GB"/>
        </w:rPr>
        <w:lastRenderedPageBreak/>
        <mc:AlternateContent>
          <mc:Choice Requires="wps">
            <w:drawing>
              <wp:anchor distT="45720" distB="45720" distL="114300" distR="114300" simplePos="0" relativeHeight="251661312" behindDoc="0" locked="0" layoutInCell="1" allowOverlap="1" wp14:anchorId="1B137C3A" wp14:editId="55918C1E">
                <wp:simplePos x="0" y="0"/>
                <wp:positionH relativeFrom="margin">
                  <wp:posOffset>-325755</wp:posOffset>
                </wp:positionH>
                <wp:positionV relativeFrom="paragraph">
                  <wp:posOffset>325120</wp:posOffset>
                </wp:positionV>
                <wp:extent cx="6638290" cy="7352665"/>
                <wp:effectExtent l="0" t="0" r="10160" b="1968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290" cy="7352665"/>
                        </a:xfrm>
                        <a:prstGeom prst="rect">
                          <a:avLst/>
                        </a:prstGeom>
                        <a:ln>
                          <a:headEnd/>
                          <a:tailEnd/>
                        </a:ln>
                      </wps:spPr>
                      <wps:style>
                        <a:lnRef idx="1">
                          <a:schemeClr val="accent1"/>
                        </a:lnRef>
                        <a:fillRef idx="2">
                          <a:schemeClr val="accent1"/>
                        </a:fillRef>
                        <a:effectRef idx="1">
                          <a:schemeClr val="accent1"/>
                        </a:effectRef>
                        <a:fontRef idx="minor">
                          <a:schemeClr val="dk1"/>
                        </a:fontRef>
                      </wps:style>
                      <wps:txbx>
                        <w:txbxContent>
                          <w:p w:rsidR="0005094B" w:rsidRPr="00886514" w:rsidRDefault="0005094B" w:rsidP="00F83B39">
                            <w:pPr>
                              <w:jc w:val="both"/>
                              <w:rPr>
                                <w:b/>
                                <w:sz w:val="28"/>
                                <w:szCs w:val="28"/>
                              </w:rPr>
                            </w:pPr>
                            <w:r w:rsidRPr="00886514">
                              <w:rPr>
                                <w:b/>
                                <w:sz w:val="28"/>
                                <w:szCs w:val="28"/>
                              </w:rPr>
                              <w:t xml:space="preserve">Citizens’ Jury on Pandemic Planning, Australia 2008 </w:t>
                            </w:r>
                          </w:p>
                          <w:p w:rsidR="0005094B" w:rsidRPr="00886514" w:rsidRDefault="0005094B" w:rsidP="00A77A90">
                            <w:pPr>
                              <w:jc w:val="both"/>
                              <w:rPr>
                                <w:b/>
                              </w:rPr>
                            </w:pPr>
                            <w:r w:rsidRPr="00886514">
                              <w:rPr>
                                <w:b/>
                              </w:rPr>
                              <w:t>Background</w:t>
                            </w:r>
                          </w:p>
                          <w:p w:rsidR="0005094B" w:rsidRDefault="0005094B" w:rsidP="00A77A90">
                            <w:pPr>
                              <w:jc w:val="both"/>
                            </w:pPr>
                            <w:r>
                              <w:t xml:space="preserve">A two-day Citizens’ Jury was held in Adelaide, Australia in 2008 (case no.2) in order to include ordinary citizens in the planning of an influenza pandemic. This event followed two high profile pandemics, </w:t>
                            </w:r>
                            <w:proofErr w:type="spellStart"/>
                            <w:r>
                              <w:t>firstSARS</w:t>
                            </w:r>
                            <w:proofErr w:type="spellEnd"/>
                            <w:r>
                              <w:t xml:space="preserve"> (Severe Acute Respiratory Syndrome) in 2003 and avian H5N1 influenza A, known as ‘bird flu’ which prompted the World Health Organisation to urge national governments to put plans in place for pandemics indicating that this would be considered a ‘hot topic’ for participants. </w:t>
                            </w:r>
                          </w:p>
                          <w:p w:rsidR="0005094B" w:rsidRPr="00F34678" w:rsidRDefault="0005094B" w:rsidP="00A77A90">
                            <w:pPr>
                              <w:jc w:val="both"/>
                              <w:rPr>
                                <w:b/>
                              </w:rPr>
                            </w:pPr>
                            <w:r>
                              <w:t xml:space="preserve">The Citizens’ Jury was split across two forums where each forum was faced with different questions relating to what to do after an outbreak of disease. The first forum contained 9 participants, and the second contained 12. The forums in this experimental study were given scenarios to prompt their discussion and help them work through the arguments. Therefore, it is worthy of further investigation around using this type of facilitation and structure. </w:t>
                            </w:r>
                          </w:p>
                          <w:p w:rsidR="0005094B" w:rsidRPr="00886514" w:rsidRDefault="0005094B" w:rsidP="00A77A90">
                            <w:pPr>
                              <w:jc w:val="both"/>
                              <w:rPr>
                                <w:b/>
                              </w:rPr>
                            </w:pPr>
                            <w:r w:rsidRPr="00886514">
                              <w:rPr>
                                <w:b/>
                              </w:rPr>
                              <w:t>Use of Witnesses</w:t>
                            </w:r>
                          </w:p>
                          <w:p w:rsidR="0005094B" w:rsidRDefault="0005094B" w:rsidP="00A77A90">
                            <w:pPr>
                              <w:jc w:val="both"/>
                            </w:pPr>
                            <w:r>
                              <w:t>There were at four expert witnesses (see specialities below) who provided expert presentations, following an introduction to the mini-public, and preceded by a public deliberation. Experts in infection control, virology, ethics, and public policy briefed participants (Rogers et al 2010: 331).</w:t>
                            </w:r>
                          </w:p>
                          <w:p w:rsidR="0005094B" w:rsidRPr="00871B93" w:rsidRDefault="0005094B" w:rsidP="00A77A90">
                            <w:pPr>
                              <w:jc w:val="both"/>
                            </w:pPr>
                            <w:r>
                              <w:t xml:space="preserve"> The first day was facilitated by an expert facilitator who called experts, and controlled the discussion. The second day consisted of the deliberation between citizen-participants around three scenarios, with the aim of reaching consensus on questions for each scenario such as what information should the public receive, and how should this be communicated. During this stage, participants were requested to act as ‘community representatives’ and ‘citizens’ rather than ‘individuals’ (Rogers et al 2010: 333).</w:t>
                            </w:r>
                          </w:p>
                          <w:p w:rsidR="0005094B" w:rsidRPr="00886514" w:rsidRDefault="0005094B" w:rsidP="00A77A90">
                            <w:pPr>
                              <w:jc w:val="both"/>
                              <w:rPr>
                                <w:b/>
                              </w:rPr>
                            </w:pPr>
                            <w:r w:rsidRPr="00886514">
                              <w:rPr>
                                <w:b/>
                              </w:rPr>
                              <w:t>Use of Evidence</w:t>
                            </w:r>
                          </w:p>
                          <w:p w:rsidR="0005094B" w:rsidRDefault="0005094B" w:rsidP="00A77A90">
                            <w:pPr>
                              <w:jc w:val="both"/>
                            </w:pPr>
                            <w:r>
                              <w:t>The nature of the expert presentations is not clear, but what is clear is the way the deliberations were structured around scenarios (</w:t>
                            </w:r>
                            <w:proofErr w:type="spellStart"/>
                            <w:r w:rsidRPr="004A37CF">
                              <w:t>Braunack</w:t>
                            </w:r>
                            <w:proofErr w:type="spellEnd"/>
                            <w:r w:rsidRPr="004A37CF">
                              <w:t>-Mayer, A. J. et al.</w:t>
                            </w:r>
                            <w:r>
                              <w:t xml:space="preserve"> 2007:7) where participants either reached consensus on an outcome, or were divided over two possible outcomes. The influence of evidence on participants is not easy to ascertain, but participants were reported to have had confidence in the evidence provided by the expert witnesses (Rogers et al 2010:339).</w:t>
                            </w:r>
                          </w:p>
                          <w:p w:rsidR="0005094B" w:rsidRDefault="0005094B" w:rsidP="00A77A90">
                            <w:pPr>
                              <w:jc w:val="both"/>
                            </w:pPr>
                            <w:r>
                              <w:t>A number of strategies about planning for pandemics from the mini-public have been included in the national influenza planning, for example providing telephone support for those in quarantine (</w:t>
                            </w:r>
                            <w:proofErr w:type="spellStart"/>
                            <w:r w:rsidRPr="004A37CF">
                              <w:t>Braunack</w:t>
                            </w:r>
                            <w:proofErr w:type="spellEnd"/>
                            <w:r w:rsidRPr="004A37CF">
                              <w:t>-Mayer, A. J. et al.</w:t>
                            </w:r>
                            <w:r>
                              <w:t xml:space="preserve"> 2007:7), showing a direct influence on policy that could only be elicited through hearing perspectives around community values from citizen deliberations. Having said that, the degree to which these recommendations set the agenda is unclear, as another report suggests that the recommendations were ‘largely consistent with the existing national strategy’ (Rogers et al 2010: 331).</w:t>
                            </w:r>
                          </w:p>
                          <w:p w:rsidR="0005094B" w:rsidRPr="00886514" w:rsidRDefault="0005094B" w:rsidP="00A77A90">
                            <w:pPr>
                              <w:jc w:val="both"/>
                              <w:rPr>
                                <w:b/>
                              </w:rPr>
                            </w:pPr>
                            <w:r w:rsidRPr="00886514">
                              <w:rPr>
                                <w:b/>
                              </w:rPr>
                              <w:t>Merits Further Study</w:t>
                            </w:r>
                          </w:p>
                          <w:p w:rsidR="0005094B" w:rsidRPr="00C26E34" w:rsidRDefault="0005094B" w:rsidP="00A77A90">
                            <w:pPr>
                              <w:jc w:val="both"/>
                            </w:pPr>
                            <w:r w:rsidRPr="00C26E34">
                              <w:t>Th</w:t>
                            </w:r>
                            <w:r>
                              <w:t>is</w:t>
                            </w:r>
                            <w:r w:rsidRPr="00C26E34">
                              <w:t xml:space="preserve"> citizens’ jury was conducted during the height of alarm surrounding the possible threats posed by the H1N1 virus and the aftermath of the Avian flu pandemic (</w:t>
                            </w:r>
                            <w:proofErr w:type="spellStart"/>
                            <w:r w:rsidRPr="00C26E34">
                              <w:t>Braunack</w:t>
                            </w:r>
                            <w:proofErr w:type="spellEnd"/>
                            <w:r w:rsidRPr="00C26E34">
                              <w:t xml:space="preserve">-Mayer et al. 2008). </w:t>
                            </w:r>
                            <w:r>
                              <w:t>T</w:t>
                            </w:r>
                            <w:r w:rsidRPr="00C26E34">
                              <w:t xml:space="preserve">he citizens’ knowledge of pandemic planning was low, and they were inserted into a politically charged environment with not a lot of time to synthesize evidence as much as they otherwise could have. </w:t>
                            </w:r>
                          </w:p>
                          <w:p w:rsidR="0005094B" w:rsidRDefault="0005094B" w:rsidP="00A77A90">
                            <w:pPr>
                              <w:jc w:val="both"/>
                              <w:rPr>
                                <w:b/>
                                <w:color w:val="0B5484" w:themeColor="accent1" w:themeShade="80"/>
                              </w:rPr>
                            </w:pPr>
                          </w:p>
                          <w:p w:rsidR="0005094B" w:rsidRDefault="0005094B" w:rsidP="00A77A90">
                            <w:pPr>
                              <w:jc w:val="both"/>
                              <w:rPr>
                                <w:b/>
                                <w:color w:val="0B5484" w:themeColor="accent1" w:themeShade="80"/>
                              </w:rPr>
                            </w:pPr>
                          </w:p>
                          <w:p w:rsidR="0005094B" w:rsidRPr="00C26E34" w:rsidRDefault="0005094B" w:rsidP="00A77A90">
                            <w:pPr>
                              <w:jc w:val="both"/>
                              <w:rPr>
                                <w:b/>
                                <w:color w:val="0B5484" w:themeColor="accent1" w:themeShade="8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137C3A" id="_x0000_t202" coordsize="21600,21600" o:spt="202" path="m,l,21600r21600,l21600,xe">
                <v:stroke joinstyle="miter"/>
                <v:path gradientshapeok="t" o:connecttype="rect"/>
              </v:shapetype>
              <v:shape id="Text Box 2" o:spid="_x0000_s1026" type="#_x0000_t202" style="position:absolute;left:0;text-align:left;margin-left:-25.65pt;margin-top:25.6pt;width:522.7pt;height:578.9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" fillcolor="#70bff3 [2228]" strokecolor="#0d649e [1924]">
                <v:textbox>
                  <w:txbxContent>
                    <w:p w:rsidR="0005094B" w:rsidRPr="00886514" w:rsidRDefault="0005094B" w:rsidP="00F83B39">
                      <w:pPr>
                        <w:jc w:val="both"/>
                        <w:rPr>
                          <w:b/>
                          <w:sz w:val="28"/>
                          <w:szCs w:val="28"/>
                        </w:rPr>
                      </w:pPr>
                      <w:r w:rsidRPr="00886514">
                        <w:rPr>
                          <w:b/>
                          <w:sz w:val="28"/>
                          <w:szCs w:val="28"/>
                        </w:rPr>
                        <w:t xml:space="preserve">Citizens’ Jury on Pandemic Planning, Australia 2008 </w:t>
                      </w:r>
                    </w:p>
                    <w:p w:rsidR="0005094B" w:rsidRPr="00886514" w:rsidRDefault="0005094B" w:rsidP="00A77A90">
                      <w:pPr>
                        <w:jc w:val="both"/>
                        <w:rPr>
                          <w:b/>
                        </w:rPr>
                      </w:pPr>
                      <w:r w:rsidRPr="00886514">
                        <w:rPr>
                          <w:b/>
                        </w:rPr>
                        <w:t>Background</w:t>
                      </w:r>
                    </w:p>
                    <w:p w:rsidR="0005094B" w:rsidRDefault="0005094B" w:rsidP="00A77A90">
                      <w:pPr>
                        <w:jc w:val="both"/>
                      </w:pPr>
                      <w:r>
                        <w:t xml:space="preserve">A two-day Citizens’ Jury was held in Adelaide, Australia in 2008 (case no.2) in order to include ordinary citizens in the planning of an influenza pandemic. This event followed two high profile pandemics, </w:t>
                      </w:r>
                      <w:proofErr w:type="spellStart"/>
                      <w:r>
                        <w:t>firstSARS</w:t>
                      </w:r>
                      <w:proofErr w:type="spellEnd"/>
                      <w:r>
                        <w:t xml:space="preserve"> (Severe Acute Respiratory Syndrome) in 2003 and avian H5N1 influenza A, known as ‘bird flu’ which prompted the World Health Organisation to urge national governments to put plans in place for pandemics indicating that this would be considered a ‘hot topic’ for participants. </w:t>
                      </w:r>
                    </w:p>
                    <w:p w:rsidR="0005094B" w:rsidRPr="00F34678" w:rsidRDefault="0005094B" w:rsidP="00A77A90">
                      <w:pPr>
                        <w:jc w:val="both"/>
                        <w:rPr>
                          <w:b/>
                        </w:rPr>
                      </w:pPr>
                      <w:r>
                        <w:t xml:space="preserve">The Citizens’ Jury was split across two forums where each forum was faced with different questions relating to what to do after an outbreak of disease. The first forum contained 9 participants, and the second contained 12. The forums in this experimental study were given scenarios to prompt their discussion and help them work through the arguments. Therefore, it is worthy of further investigation around using this type of facilitation and structure. </w:t>
                      </w:r>
                    </w:p>
                    <w:p w:rsidR="0005094B" w:rsidRPr="00886514" w:rsidRDefault="0005094B" w:rsidP="00A77A90">
                      <w:pPr>
                        <w:jc w:val="both"/>
                        <w:rPr>
                          <w:b/>
                        </w:rPr>
                      </w:pPr>
                      <w:r w:rsidRPr="00886514">
                        <w:rPr>
                          <w:b/>
                        </w:rPr>
                        <w:t>Use of Witnesses</w:t>
                      </w:r>
                    </w:p>
                    <w:p w:rsidR="0005094B" w:rsidRDefault="0005094B" w:rsidP="00A77A90">
                      <w:pPr>
                        <w:jc w:val="both"/>
                      </w:pPr>
                      <w:r>
                        <w:t>There were at four expert witnesses (see specialities below) who provided expert presentations, following an introduction to the mini-public, and preceded by a public deliberation. Experts in infection control, virology, ethics, and public policy briefed participants (Rogers et al 2010: 331).</w:t>
                      </w:r>
                    </w:p>
                    <w:p w:rsidR="0005094B" w:rsidRPr="00871B93" w:rsidRDefault="0005094B" w:rsidP="00A77A90">
                      <w:pPr>
                        <w:jc w:val="both"/>
                      </w:pPr>
                      <w:r>
                        <w:t xml:space="preserve"> The first day was facilitated by an expert facilitator who called experts, and controlled the discussion. The second day consisted of the deliberation between citizen-participants around three scenarios, with the aim of reaching consensus on questions for each scenario such as what information should the public receive, and how should this be communicated. During this stage, participants were requested to act as ‘community representatives’ and ‘citizens’ rather than ‘individuals’ (Rogers et al 2010: 333).</w:t>
                      </w:r>
                    </w:p>
                    <w:p w:rsidR="0005094B" w:rsidRPr="00886514" w:rsidRDefault="0005094B" w:rsidP="00A77A90">
                      <w:pPr>
                        <w:jc w:val="both"/>
                        <w:rPr>
                          <w:b/>
                        </w:rPr>
                      </w:pPr>
                      <w:r w:rsidRPr="00886514">
                        <w:rPr>
                          <w:b/>
                        </w:rPr>
                        <w:t>Use of Evidence</w:t>
                      </w:r>
                    </w:p>
                    <w:p w:rsidR="0005094B" w:rsidRDefault="0005094B" w:rsidP="00A77A90">
                      <w:pPr>
                        <w:jc w:val="both"/>
                      </w:pPr>
                      <w:r>
                        <w:t>The nature of the expert presentations is not clear, but what is clear is the way the deliberations were structured around scenarios (</w:t>
                      </w:r>
                      <w:proofErr w:type="spellStart"/>
                      <w:r w:rsidRPr="004A37CF">
                        <w:t>Braunack</w:t>
                      </w:r>
                      <w:proofErr w:type="spellEnd"/>
                      <w:r w:rsidRPr="004A37CF">
                        <w:t>-Mayer, A. J. et al.</w:t>
                      </w:r>
                      <w:r>
                        <w:t xml:space="preserve"> 2007:7) where participants either reached consensus on an outcome, or were divided over two possible outcomes. The influence of evidence on participants is not easy to ascertain, but participants were reported to have had confidence in the evidence provided by the expert witnesses (Rogers et al 2010:339).</w:t>
                      </w:r>
                    </w:p>
                    <w:p w:rsidR="0005094B" w:rsidRDefault="0005094B" w:rsidP="00A77A90">
                      <w:pPr>
                        <w:jc w:val="both"/>
                      </w:pPr>
                      <w:r>
                        <w:t>A number of strategies about planning for pandemics from the mini-public have been included in the national influenza planning, for example providing telephone support for those in quarantine (</w:t>
                      </w:r>
                      <w:proofErr w:type="spellStart"/>
                      <w:r w:rsidRPr="004A37CF">
                        <w:t>Braunack</w:t>
                      </w:r>
                      <w:proofErr w:type="spellEnd"/>
                      <w:r w:rsidRPr="004A37CF">
                        <w:t>-Mayer, A. J. et al.</w:t>
                      </w:r>
                      <w:r>
                        <w:t xml:space="preserve"> 2007:7), showing a direct influence on policy that could only be elicited through hearing perspectives around community values from citizen deliberations. Having said that, the degree to which these recommendations set the agenda is unclear, as another report suggests that the recommendations were ‘largely consistent with the existing national strategy’ (Rogers et al 2010: 331).</w:t>
                      </w:r>
                    </w:p>
                    <w:p w:rsidR="0005094B" w:rsidRPr="00886514" w:rsidRDefault="0005094B" w:rsidP="00A77A90">
                      <w:pPr>
                        <w:jc w:val="both"/>
                        <w:rPr>
                          <w:b/>
                        </w:rPr>
                      </w:pPr>
                      <w:r w:rsidRPr="00886514">
                        <w:rPr>
                          <w:b/>
                        </w:rPr>
                        <w:t>Merits Further Study</w:t>
                      </w:r>
                    </w:p>
                    <w:p w:rsidR="0005094B" w:rsidRPr="00C26E34" w:rsidRDefault="0005094B" w:rsidP="00A77A90">
                      <w:pPr>
                        <w:jc w:val="both"/>
                      </w:pPr>
                      <w:r w:rsidRPr="00C26E34">
                        <w:t>Th</w:t>
                      </w:r>
                      <w:r>
                        <w:t>is</w:t>
                      </w:r>
                      <w:r w:rsidRPr="00C26E34">
                        <w:t xml:space="preserve"> citizens’ jury was conducted during the height of alarm surrounding the possible threats posed by the H1N1 virus and the aftermath of the Avian flu pandemic (</w:t>
                      </w:r>
                      <w:proofErr w:type="spellStart"/>
                      <w:r w:rsidRPr="00C26E34">
                        <w:t>Braunack</w:t>
                      </w:r>
                      <w:proofErr w:type="spellEnd"/>
                      <w:r w:rsidRPr="00C26E34">
                        <w:t xml:space="preserve">-Mayer et al. 2008). </w:t>
                      </w:r>
                      <w:r>
                        <w:t>T</w:t>
                      </w:r>
                      <w:r w:rsidRPr="00C26E34">
                        <w:t xml:space="preserve">he citizens’ knowledge of pandemic planning was low, and they were inserted into a politically charged environment with not a lot of time to synthesize evidence as much as they otherwise could have. </w:t>
                      </w:r>
                    </w:p>
                    <w:p w:rsidR="0005094B" w:rsidRDefault="0005094B" w:rsidP="00A77A90">
                      <w:pPr>
                        <w:jc w:val="both"/>
                        <w:rPr>
                          <w:b/>
                          <w:color w:val="0B5484" w:themeColor="accent1" w:themeShade="80"/>
                        </w:rPr>
                      </w:pPr>
                    </w:p>
                    <w:p w:rsidR="0005094B" w:rsidRDefault="0005094B" w:rsidP="00A77A90">
                      <w:pPr>
                        <w:jc w:val="both"/>
                        <w:rPr>
                          <w:b/>
                          <w:color w:val="0B5484" w:themeColor="accent1" w:themeShade="80"/>
                        </w:rPr>
                      </w:pPr>
                    </w:p>
                    <w:p w:rsidR="0005094B" w:rsidRPr="00C26E34" w:rsidRDefault="0005094B" w:rsidP="00A77A90">
                      <w:pPr>
                        <w:jc w:val="both"/>
                        <w:rPr>
                          <w:b/>
                          <w:color w:val="0B5484" w:themeColor="accent1" w:themeShade="80"/>
                        </w:rPr>
                      </w:pPr>
                    </w:p>
                  </w:txbxContent>
                </v:textbox>
                <w10:wrap type="square" anchorx="margin"/>
              </v:shape>
            </w:pict>
          </mc:Fallback>
        </mc:AlternateContent>
      </w:r>
    </w:p>
    <w:p w:rsidR="00E927B0" w:rsidRDefault="00E927B0" w:rsidP="00E927B0">
      <w:pPr>
        <w:jc w:val="both"/>
        <w:rPr>
          <w:sz w:val="24"/>
          <w:szCs w:val="24"/>
          <w:lang w:val="it-IT"/>
        </w:rPr>
      </w:pPr>
    </w:p>
    <w:p w:rsidR="00A77A90" w:rsidRDefault="00A77A90" w:rsidP="00E927B0">
      <w:pPr>
        <w:jc w:val="both"/>
        <w:rPr>
          <w:sz w:val="24"/>
          <w:szCs w:val="24"/>
          <w:lang w:val="it-IT"/>
        </w:rPr>
      </w:pPr>
    </w:p>
    <w:p w:rsidR="00A77A90" w:rsidRDefault="00A77A90" w:rsidP="00E927B0">
      <w:pPr>
        <w:jc w:val="both"/>
        <w:rPr>
          <w:sz w:val="24"/>
          <w:szCs w:val="24"/>
          <w:lang w:val="it-IT"/>
        </w:rPr>
      </w:pPr>
    </w:p>
    <w:p w:rsidR="00D943A4" w:rsidRDefault="00D943A4" w:rsidP="00845E3C">
      <w:pPr>
        <w:jc w:val="both"/>
        <w:rPr>
          <w:b/>
          <w:sz w:val="24"/>
          <w:szCs w:val="24"/>
        </w:rPr>
      </w:pPr>
    </w:p>
    <w:p w:rsidR="00886514" w:rsidRDefault="00AC17FF" w:rsidP="00845E3C">
      <w:pPr>
        <w:jc w:val="both"/>
        <w:rPr>
          <w:b/>
          <w:color w:val="0B5484" w:themeColor="accent1" w:themeShade="80"/>
          <w:sz w:val="24"/>
          <w:szCs w:val="24"/>
        </w:rPr>
      </w:pPr>
      <w:r>
        <w:rPr>
          <w:noProof/>
          <w:lang w:eastAsia="en-GB"/>
        </w:rPr>
        <w:lastRenderedPageBreak/>
        <mc:AlternateContent>
          <mc:Choice Requires="wps">
            <w:drawing>
              <wp:anchor distT="45720" distB="45720" distL="114300" distR="114300" simplePos="0" relativeHeight="251663360" behindDoc="0" locked="0" layoutInCell="1" allowOverlap="1" wp14:anchorId="375B67E0" wp14:editId="48ACD025">
                <wp:simplePos x="0" y="0"/>
                <wp:positionH relativeFrom="column">
                  <wp:posOffset>-390525</wp:posOffset>
                </wp:positionH>
                <wp:positionV relativeFrom="paragraph">
                  <wp:posOffset>0</wp:posOffset>
                </wp:positionV>
                <wp:extent cx="6576060" cy="6562725"/>
                <wp:effectExtent l="0" t="0" r="15240"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6060" cy="6562725"/>
                        </a:xfrm>
                        <a:prstGeom prst="rect">
                          <a:avLst/>
                        </a:prstGeom>
                        <a:ln>
                          <a:headEnd/>
                          <a:tailEnd/>
                        </a:ln>
                      </wps:spPr>
                      <wps:style>
                        <a:lnRef idx="1">
                          <a:schemeClr val="accent1"/>
                        </a:lnRef>
                        <a:fillRef idx="2">
                          <a:schemeClr val="accent1"/>
                        </a:fillRef>
                        <a:effectRef idx="1">
                          <a:schemeClr val="accent1"/>
                        </a:effectRef>
                        <a:fontRef idx="minor">
                          <a:schemeClr val="dk1"/>
                        </a:fontRef>
                      </wps:style>
                      <wps:txbx>
                        <w:txbxContent>
                          <w:p w:rsidR="0005094B" w:rsidRPr="00886514" w:rsidRDefault="0005094B" w:rsidP="00886514">
                            <w:pPr>
                              <w:jc w:val="both"/>
                              <w:rPr>
                                <w:b/>
                                <w:sz w:val="28"/>
                                <w:szCs w:val="28"/>
                              </w:rPr>
                            </w:pPr>
                            <w:r w:rsidRPr="00886514">
                              <w:rPr>
                                <w:b/>
                                <w:sz w:val="28"/>
                                <w:szCs w:val="28"/>
                              </w:rPr>
                              <w:t>Breast Screening Citizens’ Jury, New Zealand 2007</w:t>
                            </w:r>
                          </w:p>
                          <w:p w:rsidR="0005094B" w:rsidRPr="00886514" w:rsidRDefault="0005094B" w:rsidP="00886514">
                            <w:pPr>
                              <w:jc w:val="both"/>
                              <w:rPr>
                                <w:b/>
                              </w:rPr>
                            </w:pPr>
                            <w:r w:rsidRPr="00886514">
                              <w:rPr>
                                <w:b/>
                              </w:rPr>
                              <w:t>Background</w:t>
                            </w:r>
                          </w:p>
                          <w:p w:rsidR="0005094B" w:rsidRDefault="0005094B" w:rsidP="00886514">
                            <w:pPr>
                              <w:jc w:val="both"/>
                            </w:pPr>
                            <w:r>
                              <w:t>Cancer screening is widely considered to be a positive practice, but there are growing concerns about the risks and costs of the practice. In New Zealand in 2007 11 women took part in a citizens’ jury style to determine if breast screening in women aged between 40-49 years is a good idea (case no.1). The participants themselves were all women within that age category. The final 11 were self-selected out of an original group of 80 randomly selected participants who fit the specific demographic. The low turnout was the result of a mixture of low reply-rate from the original 80, and only 17 agreeing to take part (</w:t>
                            </w:r>
                            <w:proofErr w:type="spellStart"/>
                            <w:r>
                              <w:t>Rychetnik</w:t>
                            </w:r>
                            <w:proofErr w:type="spellEnd"/>
                            <w:r>
                              <w:t xml:space="preserve"> 2012: 380). </w:t>
                            </w:r>
                          </w:p>
                          <w:p w:rsidR="0005094B" w:rsidRPr="00886514" w:rsidRDefault="0005094B" w:rsidP="00886514">
                            <w:pPr>
                              <w:jc w:val="both"/>
                              <w:rPr>
                                <w:b/>
                              </w:rPr>
                            </w:pPr>
                            <w:r w:rsidRPr="00886514">
                              <w:rPr>
                                <w:b/>
                              </w:rPr>
                              <w:t>Use of Witnesses</w:t>
                            </w:r>
                          </w:p>
                          <w:p w:rsidR="0005094B" w:rsidRDefault="0005094B" w:rsidP="00886514">
                            <w:pPr>
                              <w:jc w:val="both"/>
                            </w:pPr>
                            <w:r>
                              <w:t>There were three expert witnesses selected by the organisers for presentations to the participants, two with opposing views on the mammographic screening for women of this age group, and one public health worker who was neutral:</w:t>
                            </w:r>
                          </w:p>
                          <w:p w:rsidR="0005094B" w:rsidRDefault="0005094B" w:rsidP="00886514">
                            <w:pPr>
                              <w:pStyle w:val="ListParagraph"/>
                              <w:numPr>
                                <w:ilvl w:val="0"/>
                                <w:numId w:val="26"/>
                              </w:numPr>
                              <w:jc w:val="both"/>
                            </w:pPr>
                            <w:r w:rsidRPr="00460AF1">
                              <w:t xml:space="preserve">a public health physician at the National Screening Unit of the Ministry of Health (a neutral policy advisor), </w:t>
                            </w:r>
                          </w:p>
                          <w:p w:rsidR="0005094B" w:rsidRDefault="0005094B" w:rsidP="00886514">
                            <w:pPr>
                              <w:pStyle w:val="ListParagraph"/>
                              <w:numPr>
                                <w:ilvl w:val="0"/>
                                <w:numId w:val="26"/>
                              </w:numPr>
                              <w:jc w:val="both"/>
                            </w:pPr>
                            <w:r w:rsidRPr="00460AF1">
                              <w:t>a breast surgeon and member of the New Zealand Breast Cancer Foundation (an advocacy group in favour of breast screening for women from 40),</w:t>
                            </w:r>
                          </w:p>
                          <w:p w:rsidR="0005094B" w:rsidRDefault="0005094B" w:rsidP="00886514">
                            <w:pPr>
                              <w:pStyle w:val="ListParagraph"/>
                              <w:numPr>
                                <w:ilvl w:val="0"/>
                                <w:numId w:val="26"/>
                              </w:numPr>
                              <w:jc w:val="both"/>
                            </w:pPr>
                            <w:r w:rsidRPr="00460AF1">
                              <w:t>an epidemiologist from the University of Otago, Christchurch</w:t>
                            </w:r>
                            <w:r>
                              <w:t xml:space="preserve"> (who was opposed to the imple</w:t>
                            </w:r>
                            <w:r w:rsidRPr="00460AF1">
                              <w:t>mentation of breast screening for women under age 50)</w:t>
                            </w:r>
                          </w:p>
                          <w:p w:rsidR="0005094B" w:rsidRPr="00871B93" w:rsidRDefault="0005094B" w:rsidP="00886514">
                            <w:r>
                              <w:t>(Paul et al. 2008 p. 315). The witnesses all used comparable information about the harms from trials and extrapolations from existing breast screening programmes.</w:t>
                            </w:r>
                          </w:p>
                          <w:p w:rsidR="0005094B" w:rsidRPr="00886514" w:rsidRDefault="0005094B" w:rsidP="00886514">
                            <w:pPr>
                              <w:jc w:val="both"/>
                              <w:rPr>
                                <w:b/>
                              </w:rPr>
                            </w:pPr>
                            <w:r w:rsidRPr="00886514">
                              <w:rPr>
                                <w:b/>
                              </w:rPr>
                              <w:t xml:space="preserve">Use of Evidence </w:t>
                            </w:r>
                          </w:p>
                          <w:p w:rsidR="0005094B" w:rsidRDefault="0005094B" w:rsidP="00886514">
                            <w:pPr>
                              <w:jc w:val="both"/>
                            </w:pPr>
                            <w:r>
                              <w:t xml:space="preserve">The participants were briefed on the Wednesday ahead of the deliberative event that started on Friday with presentations from expert witnesses, followed by questions from participants facilitated by an independent moderator. On the third day participants conferred without advisors and reached a consensus (10-1) on a list of recommendations for the reasons why they had made their recommendations. A potential weakness of this study is the outcome could be highly dependent on the selection of expert witnesses. The outcome from the citizens’ jury is to elicit community members’ views, and was not linked in any direct or purposeful way to policy outcomes. </w:t>
                            </w:r>
                          </w:p>
                          <w:p w:rsidR="0005094B" w:rsidRPr="00886514" w:rsidRDefault="0005094B" w:rsidP="00886514">
                            <w:pPr>
                              <w:jc w:val="both"/>
                              <w:rPr>
                                <w:b/>
                              </w:rPr>
                            </w:pPr>
                            <w:r w:rsidRPr="00886514">
                              <w:rPr>
                                <w:b/>
                              </w:rPr>
                              <w:t>Merits Further Study</w:t>
                            </w:r>
                          </w:p>
                          <w:p w:rsidR="0005094B" w:rsidRPr="005E7F7F" w:rsidRDefault="0005094B" w:rsidP="00886514">
                            <w:pPr>
                              <w:jc w:val="both"/>
                            </w:pPr>
                            <w:r w:rsidRPr="005E7F7F">
                              <w:t>First, its representativeness raises a point of interest. It featured just 11 women of 80 invited. Given the complexity of the nature of breast cancer and the diversity of female populations, it is difficult to capture all populations of women predisposed to breast cancer with just 11 participants. Second, of the 11 women, 10 voted against free mammographic screening for women aged 40-49. 9 of the 10 changed their position after receiving expert information. Such a large swing is noteworthy and may say something about the nature of the expertise that made it so powerfully persuasive. Further investigation into why this expert information was so influential is therefore worth conducting (Paul et al. 2008).</w:t>
                            </w:r>
                          </w:p>
                          <w:p w:rsidR="0005094B" w:rsidRDefault="0005094B" w:rsidP="00886514">
                            <w:pPr>
                              <w:jc w:val="bo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5B67E0" id="_x0000_s1027" type="#_x0000_t202" style="position:absolute;left:0;text-align:left;margin-left:-30.75pt;margin-top:0;width:517.8pt;height:516.7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" fillcolor="#70bff3 [2228]" strokecolor="#0d649e [1924]">
                <v:textbox>
                  <w:txbxContent>
                    <w:p w:rsidR="0005094B" w:rsidRPr="00886514" w:rsidRDefault="0005094B" w:rsidP="00886514">
                      <w:pPr>
                        <w:jc w:val="both"/>
                        <w:rPr>
                          <w:b/>
                          <w:sz w:val="28"/>
                          <w:szCs w:val="28"/>
                        </w:rPr>
                      </w:pPr>
                      <w:r w:rsidRPr="00886514">
                        <w:rPr>
                          <w:b/>
                          <w:sz w:val="28"/>
                          <w:szCs w:val="28"/>
                        </w:rPr>
                        <w:t>Breast Screening Citizens’ Jury, New Zealand 2007</w:t>
                      </w:r>
                    </w:p>
                    <w:p w:rsidR="0005094B" w:rsidRPr="00886514" w:rsidRDefault="0005094B" w:rsidP="00886514">
                      <w:pPr>
                        <w:jc w:val="both"/>
                        <w:rPr>
                          <w:b/>
                        </w:rPr>
                      </w:pPr>
                      <w:r w:rsidRPr="00886514">
                        <w:rPr>
                          <w:b/>
                        </w:rPr>
                        <w:t>Background</w:t>
                      </w:r>
                    </w:p>
                    <w:p w:rsidR="0005094B" w:rsidRDefault="0005094B" w:rsidP="00886514">
                      <w:pPr>
                        <w:jc w:val="both"/>
                      </w:pPr>
                      <w:r>
                        <w:t>Cancer screening is widely considered to be a positive practice, but there are growing concerns about the risks and costs of the practice. In New Zealand in 2007 11 women took part in a citizens’ jury style to determine if breast screening in women aged between 40-49 years is a good idea (case no.1). The participants themselves were all women within that age category. The final 11 were self-selected out of an original group of 80 randomly selected participants who fit the specific demographic. The low turnout was the result of a mixture of low reply-rate from the original 80, and only 17 agreeing to take part (</w:t>
                      </w:r>
                      <w:proofErr w:type="spellStart"/>
                      <w:r>
                        <w:t>Rychetnik</w:t>
                      </w:r>
                      <w:proofErr w:type="spellEnd"/>
                      <w:r>
                        <w:t xml:space="preserve"> 2012: 380). </w:t>
                      </w:r>
                    </w:p>
                    <w:p w:rsidR="0005094B" w:rsidRPr="00886514" w:rsidRDefault="0005094B" w:rsidP="00886514">
                      <w:pPr>
                        <w:jc w:val="both"/>
                        <w:rPr>
                          <w:b/>
                        </w:rPr>
                      </w:pPr>
                      <w:r w:rsidRPr="00886514">
                        <w:rPr>
                          <w:b/>
                        </w:rPr>
                        <w:t>Use of Witnesses</w:t>
                      </w:r>
                    </w:p>
                    <w:p w:rsidR="0005094B" w:rsidRDefault="0005094B" w:rsidP="00886514">
                      <w:pPr>
                        <w:jc w:val="both"/>
                      </w:pPr>
                      <w:r>
                        <w:t>There were three expert witnesses selected by the organisers for presentations to the participants, two with opposing views on the mammographic screening for women of this age group, and one public health worker who was neutral:</w:t>
                      </w:r>
                    </w:p>
                    <w:p w:rsidR="0005094B" w:rsidRDefault="0005094B" w:rsidP="00886514">
                      <w:pPr>
                        <w:pStyle w:val="ListParagraph"/>
                        <w:numPr>
                          <w:ilvl w:val="0"/>
                          <w:numId w:val="26"/>
                        </w:numPr>
                        <w:jc w:val="both"/>
                      </w:pPr>
                      <w:r w:rsidRPr="00460AF1">
                        <w:t xml:space="preserve">a public health physician at the National Screening Unit of the Ministry of Health (a neutral policy advisor), </w:t>
                      </w:r>
                    </w:p>
                    <w:p w:rsidR="0005094B" w:rsidRDefault="0005094B" w:rsidP="00886514">
                      <w:pPr>
                        <w:pStyle w:val="ListParagraph"/>
                        <w:numPr>
                          <w:ilvl w:val="0"/>
                          <w:numId w:val="26"/>
                        </w:numPr>
                        <w:jc w:val="both"/>
                      </w:pPr>
                      <w:r w:rsidRPr="00460AF1">
                        <w:t>a breast surgeon and member of the New Zealand Breast Cancer Foundation (an advocacy group in favour of breast screening for women from 40),</w:t>
                      </w:r>
                    </w:p>
                    <w:p w:rsidR="0005094B" w:rsidRDefault="0005094B" w:rsidP="00886514">
                      <w:pPr>
                        <w:pStyle w:val="ListParagraph"/>
                        <w:numPr>
                          <w:ilvl w:val="0"/>
                          <w:numId w:val="26"/>
                        </w:numPr>
                        <w:jc w:val="both"/>
                      </w:pPr>
                      <w:r w:rsidRPr="00460AF1">
                        <w:t>an epidemiologist from the University of Otago, Christchurch</w:t>
                      </w:r>
                      <w:r>
                        <w:t xml:space="preserve"> (who was opposed to the imple</w:t>
                      </w:r>
                      <w:r w:rsidRPr="00460AF1">
                        <w:t>mentation of breast screening for women under age 50)</w:t>
                      </w:r>
                    </w:p>
                    <w:p w:rsidR="0005094B" w:rsidRPr="00871B93" w:rsidRDefault="0005094B" w:rsidP="00886514">
                      <w:r>
                        <w:t>(Paul et al. 2008 p. 315). The witnesses all used comparable information about the harms from trials and extrapolations from existing breast screening programmes.</w:t>
                      </w:r>
                    </w:p>
                    <w:p w:rsidR="0005094B" w:rsidRPr="00886514" w:rsidRDefault="0005094B" w:rsidP="00886514">
                      <w:pPr>
                        <w:jc w:val="both"/>
                        <w:rPr>
                          <w:b/>
                        </w:rPr>
                      </w:pPr>
                      <w:r w:rsidRPr="00886514">
                        <w:rPr>
                          <w:b/>
                        </w:rPr>
                        <w:t xml:space="preserve">Use of Evidence </w:t>
                      </w:r>
                    </w:p>
                    <w:p w:rsidR="0005094B" w:rsidRDefault="0005094B" w:rsidP="00886514">
                      <w:pPr>
                        <w:jc w:val="both"/>
                      </w:pPr>
                      <w:r>
                        <w:t xml:space="preserve">The participants were briefed on the Wednesday ahead of the deliberative event that started on Friday with presentations from expert witnesses, followed by questions from participants facilitated by an independent moderator. On the third day participants conferred without advisors and reached a consensus (10-1) on a list of recommendations for the reasons why they had made their recommendations. A potential weakness of this study is the outcome could be highly dependent on the selection of expert witnesses. The outcome from the citizens’ jury is to elicit community members’ views, and was not linked in any direct or purposeful way to policy outcomes. </w:t>
                      </w:r>
                    </w:p>
                    <w:p w:rsidR="0005094B" w:rsidRPr="00886514" w:rsidRDefault="0005094B" w:rsidP="00886514">
                      <w:pPr>
                        <w:jc w:val="both"/>
                        <w:rPr>
                          <w:b/>
                        </w:rPr>
                      </w:pPr>
                      <w:r w:rsidRPr="00886514">
                        <w:rPr>
                          <w:b/>
                        </w:rPr>
                        <w:t>Merits Further Study</w:t>
                      </w:r>
                    </w:p>
                    <w:p w:rsidR="0005094B" w:rsidRPr="005E7F7F" w:rsidRDefault="0005094B" w:rsidP="00886514">
                      <w:pPr>
                        <w:jc w:val="both"/>
                      </w:pPr>
                      <w:r w:rsidRPr="005E7F7F">
                        <w:t>First, its representativeness raises a point of interest. It featured just 11 women of 80 invited. Given the complexity of the nature of breast cancer and the diversity of female populations, it is difficult to capture all populations of women predisposed to breast cancer with just 11 participants. Second, of the 11 women, 10 voted against free mammographic screening for women aged 40-49. 9 of the 10 changed their position after receiving expert information. Such a large swing is noteworthy and may say something about the nature of the expertise that made it so powerfully persuasive. Further investigation into why this expert information was so influential is therefore worth conducting (Paul et al. 2008).</w:t>
                      </w:r>
                    </w:p>
                    <w:p w:rsidR="0005094B" w:rsidRDefault="0005094B" w:rsidP="00886514">
                      <w:pPr>
                        <w:jc w:val="both"/>
                      </w:pPr>
                    </w:p>
                  </w:txbxContent>
                </v:textbox>
                <w10:wrap type="square"/>
              </v:shape>
            </w:pict>
          </mc:Fallback>
        </mc:AlternateContent>
      </w:r>
    </w:p>
    <w:p w:rsidR="00886514" w:rsidRDefault="00886514" w:rsidP="00845E3C">
      <w:pPr>
        <w:jc w:val="both"/>
        <w:rPr>
          <w:b/>
          <w:color w:val="0B5484" w:themeColor="accent1" w:themeShade="80"/>
          <w:sz w:val="24"/>
          <w:szCs w:val="24"/>
        </w:rPr>
      </w:pPr>
    </w:p>
    <w:p w:rsidR="00886514" w:rsidRDefault="00886514" w:rsidP="00845E3C">
      <w:pPr>
        <w:jc w:val="both"/>
        <w:rPr>
          <w:b/>
          <w:color w:val="0B5484" w:themeColor="accent1" w:themeShade="80"/>
          <w:sz w:val="24"/>
          <w:szCs w:val="24"/>
        </w:rPr>
      </w:pPr>
    </w:p>
    <w:p w:rsidR="00886514" w:rsidRDefault="00886514" w:rsidP="00845E3C">
      <w:pPr>
        <w:jc w:val="both"/>
        <w:rPr>
          <w:b/>
          <w:color w:val="0B5484" w:themeColor="accent1" w:themeShade="80"/>
          <w:sz w:val="24"/>
          <w:szCs w:val="24"/>
        </w:rPr>
      </w:pPr>
    </w:p>
    <w:p w:rsidR="00886514" w:rsidRDefault="00886514" w:rsidP="00845E3C">
      <w:pPr>
        <w:jc w:val="both"/>
        <w:rPr>
          <w:b/>
          <w:color w:val="0B5484" w:themeColor="accent1" w:themeShade="80"/>
          <w:sz w:val="24"/>
          <w:szCs w:val="24"/>
        </w:rPr>
      </w:pPr>
    </w:p>
    <w:p w:rsidR="00886514" w:rsidRDefault="00886514" w:rsidP="00845E3C">
      <w:pPr>
        <w:jc w:val="both"/>
        <w:rPr>
          <w:b/>
          <w:color w:val="0B5484" w:themeColor="accent1" w:themeShade="80"/>
          <w:sz w:val="24"/>
          <w:szCs w:val="24"/>
        </w:rPr>
      </w:pPr>
    </w:p>
    <w:p w:rsidR="00886514" w:rsidRDefault="00886514" w:rsidP="00845E3C">
      <w:pPr>
        <w:jc w:val="both"/>
        <w:rPr>
          <w:b/>
          <w:color w:val="0B5484" w:themeColor="accent1" w:themeShade="80"/>
          <w:sz w:val="24"/>
          <w:szCs w:val="24"/>
        </w:rPr>
      </w:pPr>
    </w:p>
    <w:p w:rsidR="00886514" w:rsidRDefault="00886514" w:rsidP="00845E3C">
      <w:pPr>
        <w:jc w:val="both"/>
        <w:rPr>
          <w:b/>
          <w:color w:val="0B5484" w:themeColor="accent1" w:themeShade="80"/>
          <w:sz w:val="24"/>
          <w:szCs w:val="24"/>
        </w:rPr>
      </w:pPr>
    </w:p>
    <w:p w:rsidR="00E927B0" w:rsidRPr="00886514" w:rsidRDefault="00F41FE1" w:rsidP="00845E3C">
      <w:pPr>
        <w:jc w:val="both"/>
        <w:rPr>
          <w:b/>
          <w:color w:val="0B5484" w:themeColor="accent1" w:themeShade="80"/>
          <w:sz w:val="28"/>
          <w:szCs w:val="28"/>
        </w:rPr>
      </w:pPr>
      <w:r w:rsidRPr="00886514">
        <w:rPr>
          <w:b/>
          <w:color w:val="0B5484" w:themeColor="accent1" w:themeShade="80"/>
          <w:sz w:val="28"/>
          <w:szCs w:val="28"/>
        </w:rPr>
        <w:lastRenderedPageBreak/>
        <w:t>Denmark and Finland</w:t>
      </w:r>
    </w:p>
    <w:p w:rsidR="00AC17FF" w:rsidRDefault="00AC17FF" w:rsidP="00AC17FF">
      <w:pPr>
        <w:jc w:val="both"/>
        <w:rPr>
          <w:b/>
          <w:color w:val="0B5484" w:themeColor="accent1" w:themeShade="80"/>
          <w:sz w:val="24"/>
          <w:szCs w:val="24"/>
        </w:rPr>
      </w:pPr>
      <w:r w:rsidRPr="00C82A8C">
        <w:rPr>
          <w:b/>
          <w:bCs/>
          <w:color w:val="0B5484" w:themeColor="accent1" w:themeShade="80"/>
          <w:sz w:val="24"/>
          <w:szCs w:val="24"/>
        </w:rPr>
        <w:t xml:space="preserve">Table </w:t>
      </w:r>
      <w:r>
        <w:rPr>
          <w:b/>
          <w:bCs/>
          <w:color w:val="0B5484" w:themeColor="accent1" w:themeShade="80"/>
          <w:sz w:val="24"/>
          <w:szCs w:val="24"/>
        </w:rPr>
        <w:t xml:space="preserve">6: </w:t>
      </w:r>
      <w:r w:rsidRPr="00D943A4">
        <w:rPr>
          <w:b/>
          <w:color w:val="0B5484" w:themeColor="accent1" w:themeShade="80"/>
          <w:sz w:val="24"/>
          <w:szCs w:val="24"/>
        </w:rPr>
        <w:t>Denmark and Finland</w:t>
      </w:r>
      <w:r>
        <w:rPr>
          <w:b/>
          <w:color w:val="0B5484" w:themeColor="accent1" w:themeShade="80"/>
          <w:sz w:val="24"/>
          <w:szCs w:val="24"/>
        </w:rPr>
        <w:t xml:space="preserve">: </w:t>
      </w:r>
      <w:r w:rsidRPr="00C82A8C">
        <w:rPr>
          <w:b/>
          <w:bCs/>
          <w:color w:val="0B5484" w:themeColor="accent1" w:themeShade="80"/>
          <w:sz w:val="24"/>
          <w:szCs w:val="24"/>
        </w:rPr>
        <w:t xml:space="preserve">Overview of </w:t>
      </w:r>
      <w:r>
        <w:rPr>
          <w:b/>
          <w:color w:val="0B5484" w:themeColor="accent1" w:themeShade="80"/>
          <w:sz w:val="24"/>
          <w:szCs w:val="24"/>
        </w:rPr>
        <w:t>Mini-Public</w:t>
      </w:r>
      <w:r w:rsidRPr="00C82A8C">
        <w:rPr>
          <w:b/>
          <w:color w:val="0B5484" w:themeColor="accent1" w:themeShade="80"/>
          <w:sz w:val="24"/>
          <w:szCs w:val="24"/>
        </w:rPr>
        <w:t xml:space="preserve"> Cases</w:t>
      </w:r>
    </w:p>
    <w:tbl>
      <w:tblPr>
        <w:tblStyle w:val="TableGrid"/>
        <w:tblW w:w="11199" w:type="dxa"/>
        <w:tblInd w:w="-998" w:type="dxa"/>
        <w:tblLook w:val="04A0" w:firstRow="1" w:lastRow="0" w:firstColumn="1" w:lastColumn="0" w:noHBand="0" w:noVBand="1"/>
      </w:tblPr>
      <w:tblGrid>
        <w:gridCol w:w="509"/>
        <w:gridCol w:w="2856"/>
        <w:gridCol w:w="1302"/>
        <w:gridCol w:w="2030"/>
        <w:gridCol w:w="681"/>
        <w:gridCol w:w="953"/>
        <w:gridCol w:w="1235"/>
        <w:gridCol w:w="1633"/>
      </w:tblGrid>
      <w:tr w:rsidR="00886514" w:rsidTr="0085256C">
        <w:tc>
          <w:tcPr>
            <w:tcW w:w="509" w:type="dxa"/>
          </w:tcPr>
          <w:p w:rsidR="00886514" w:rsidRPr="0003015A" w:rsidRDefault="00886514" w:rsidP="0085256C">
            <w:pPr>
              <w:rPr>
                <w:rFonts w:cstheme="minorHAnsi"/>
                <w:b/>
                <w:i/>
                <w:color w:val="0B5484" w:themeColor="accent1" w:themeShade="80"/>
                <w:sz w:val="20"/>
                <w:szCs w:val="20"/>
              </w:rPr>
            </w:pPr>
            <w:r w:rsidRPr="0003015A">
              <w:rPr>
                <w:rFonts w:cstheme="minorHAnsi"/>
                <w:b/>
                <w:i/>
                <w:color w:val="0B5484" w:themeColor="accent1" w:themeShade="80"/>
                <w:sz w:val="20"/>
                <w:szCs w:val="20"/>
              </w:rPr>
              <w:t>No.</w:t>
            </w:r>
          </w:p>
        </w:tc>
        <w:tc>
          <w:tcPr>
            <w:tcW w:w="2856" w:type="dxa"/>
          </w:tcPr>
          <w:p w:rsidR="00886514" w:rsidRPr="0003015A" w:rsidRDefault="00886514" w:rsidP="0085256C">
            <w:pPr>
              <w:rPr>
                <w:rFonts w:cstheme="minorHAnsi"/>
                <w:b/>
                <w:i/>
                <w:color w:val="0B5484" w:themeColor="accent1" w:themeShade="80"/>
                <w:sz w:val="20"/>
                <w:szCs w:val="20"/>
              </w:rPr>
            </w:pPr>
            <w:r w:rsidRPr="0003015A">
              <w:rPr>
                <w:rFonts w:cstheme="minorHAnsi"/>
                <w:b/>
                <w:i/>
                <w:color w:val="0B5484" w:themeColor="accent1" w:themeShade="80"/>
                <w:sz w:val="20"/>
                <w:szCs w:val="20"/>
              </w:rPr>
              <w:t>Case</w:t>
            </w:r>
          </w:p>
        </w:tc>
        <w:tc>
          <w:tcPr>
            <w:tcW w:w="1302" w:type="dxa"/>
          </w:tcPr>
          <w:p w:rsidR="00886514" w:rsidRPr="0003015A" w:rsidRDefault="00886514" w:rsidP="0085256C">
            <w:pPr>
              <w:rPr>
                <w:rFonts w:cstheme="minorHAnsi"/>
                <w:b/>
                <w:i/>
                <w:color w:val="0B5484" w:themeColor="accent1" w:themeShade="80"/>
                <w:sz w:val="20"/>
                <w:szCs w:val="20"/>
              </w:rPr>
            </w:pPr>
            <w:r w:rsidRPr="0003015A">
              <w:rPr>
                <w:rFonts w:cstheme="minorHAnsi"/>
                <w:b/>
                <w:i/>
                <w:color w:val="0B5484" w:themeColor="accent1" w:themeShade="80"/>
                <w:sz w:val="20"/>
                <w:szCs w:val="20"/>
              </w:rPr>
              <w:t>Mini-Public</w:t>
            </w:r>
          </w:p>
        </w:tc>
        <w:tc>
          <w:tcPr>
            <w:tcW w:w="2030" w:type="dxa"/>
          </w:tcPr>
          <w:p w:rsidR="00886514" w:rsidRPr="0003015A" w:rsidRDefault="00886514" w:rsidP="0085256C">
            <w:pPr>
              <w:rPr>
                <w:rFonts w:cstheme="minorHAnsi"/>
                <w:b/>
                <w:i/>
                <w:color w:val="0B5484" w:themeColor="accent1" w:themeShade="80"/>
                <w:sz w:val="20"/>
                <w:szCs w:val="20"/>
              </w:rPr>
            </w:pPr>
            <w:r w:rsidRPr="0003015A">
              <w:rPr>
                <w:rFonts w:cstheme="minorHAnsi"/>
                <w:b/>
                <w:i/>
                <w:color w:val="0B5484" w:themeColor="accent1" w:themeShade="80"/>
                <w:sz w:val="20"/>
                <w:szCs w:val="20"/>
              </w:rPr>
              <w:t>Location</w:t>
            </w:r>
          </w:p>
        </w:tc>
        <w:tc>
          <w:tcPr>
            <w:tcW w:w="681" w:type="dxa"/>
          </w:tcPr>
          <w:p w:rsidR="00886514" w:rsidRPr="0003015A" w:rsidRDefault="00886514" w:rsidP="0085256C">
            <w:pPr>
              <w:rPr>
                <w:rFonts w:cstheme="minorHAnsi"/>
                <w:b/>
                <w:i/>
                <w:color w:val="0B5484" w:themeColor="accent1" w:themeShade="80"/>
                <w:sz w:val="20"/>
                <w:szCs w:val="20"/>
              </w:rPr>
            </w:pPr>
            <w:r w:rsidRPr="0003015A">
              <w:rPr>
                <w:rFonts w:cstheme="minorHAnsi"/>
                <w:b/>
                <w:i/>
                <w:color w:val="0B5484" w:themeColor="accent1" w:themeShade="80"/>
                <w:sz w:val="20"/>
                <w:szCs w:val="20"/>
              </w:rPr>
              <w:t>Date</w:t>
            </w:r>
          </w:p>
        </w:tc>
        <w:tc>
          <w:tcPr>
            <w:tcW w:w="953" w:type="dxa"/>
          </w:tcPr>
          <w:p w:rsidR="00886514" w:rsidRPr="0003015A" w:rsidRDefault="00886514" w:rsidP="0085256C">
            <w:pPr>
              <w:rPr>
                <w:rFonts w:cstheme="minorHAnsi"/>
                <w:b/>
                <w:i/>
                <w:color w:val="0B5484" w:themeColor="accent1" w:themeShade="80"/>
                <w:sz w:val="20"/>
                <w:szCs w:val="20"/>
              </w:rPr>
            </w:pPr>
            <w:r w:rsidRPr="0003015A">
              <w:rPr>
                <w:rFonts w:cstheme="minorHAnsi"/>
                <w:b/>
                <w:i/>
                <w:color w:val="0B5484" w:themeColor="accent1" w:themeShade="80"/>
                <w:sz w:val="20"/>
                <w:szCs w:val="20"/>
              </w:rPr>
              <w:t>Duration</w:t>
            </w:r>
          </w:p>
        </w:tc>
        <w:tc>
          <w:tcPr>
            <w:tcW w:w="1235" w:type="dxa"/>
          </w:tcPr>
          <w:p w:rsidR="00886514" w:rsidRPr="0003015A" w:rsidRDefault="00886514" w:rsidP="0085256C">
            <w:pPr>
              <w:rPr>
                <w:rFonts w:cstheme="minorHAnsi"/>
                <w:b/>
                <w:i/>
                <w:color w:val="0B5484" w:themeColor="accent1" w:themeShade="80"/>
                <w:sz w:val="20"/>
                <w:szCs w:val="20"/>
              </w:rPr>
            </w:pPr>
            <w:r w:rsidRPr="0003015A">
              <w:rPr>
                <w:rFonts w:cstheme="minorHAnsi"/>
                <w:b/>
                <w:i/>
                <w:color w:val="0B5484" w:themeColor="accent1" w:themeShade="80"/>
                <w:sz w:val="20"/>
                <w:szCs w:val="20"/>
              </w:rPr>
              <w:t>No. Participants</w:t>
            </w:r>
          </w:p>
        </w:tc>
        <w:tc>
          <w:tcPr>
            <w:tcW w:w="1633" w:type="dxa"/>
          </w:tcPr>
          <w:p w:rsidR="00886514" w:rsidRPr="0003015A" w:rsidRDefault="00886514" w:rsidP="0085256C">
            <w:pPr>
              <w:rPr>
                <w:rFonts w:cstheme="minorHAnsi"/>
                <w:b/>
                <w:i/>
                <w:color w:val="0B5484" w:themeColor="accent1" w:themeShade="80"/>
                <w:sz w:val="20"/>
                <w:szCs w:val="20"/>
              </w:rPr>
            </w:pPr>
            <w:r w:rsidRPr="0003015A">
              <w:rPr>
                <w:rFonts w:cstheme="minorHAnsi"/>
                <w:b/>
                <w:i/>
                <w:color w:val="0B5484" w:themeColor="accent1" w:themeShade="80"/>
                <w:sz w:val="20"/>
                <w:szCs w:val="20"/>
              </w:rPr>
              <w:t>Sampling Method</w:t>
            </w:r>
          </w:p>
        </w:tc>
      </w:tr>
      <w:tr w:rsidR="00886514" w:rsidTr="00494EAD">
        <w:tc>
          <w:tcPr>
            <w:tcW w:w="509" w:type="dxa"/>
            <w:shd w:val="clear" w:color="auto" w:fill="ABD9F8" w:themeFill="accent1" w:themeFillTint="66"/>
            <w:vAlign w:val="center"/>
          </w:tcPr>
          <w:p w:rsidR="00886514" w:rsidRPr="00494EAD" w:rsidRDefault="00886514" w:rsidP="0085256C">
            <w:pPr>
              <w:rPr>
                <w:rFonts w:cstheme="minorHAnsi"/>
                <w:b/>
                <w:i/>
                <w:sz w:val="20"/>
                <w:szCs w:val="20"/>
              </w:rPr>
            </w:pPr>
            <w:r w:rsidRPr="00494EAD">
              <w:rPr>
                <w:rFonts w:cstheme="minorHAnsi"/>
                <w:b/>
                <w:i/>
                <w:sz w:val="20"/>
                <w:szCs w:val="20"/>
              </w:rPr>
              <w:t>16</w:t>
            </w:r>
          </w:p>
        </w:tc>
        <w:tc>
          <w:tcPr>
            <w:tcW w:w="2856" w:type="dxa"/>
            <w:tcBorders>
              <w:top w:val="single" w:sz="4" w:space="0" w:color="auto"/>
              <w:left w:val="single" w:sz="4" w:space="0" w:color="auto"/>
              <w:bottom w:val="single" w:sz="4" w:space="0" w:color="auto"/>
              <w:right w:val="single" w:sz="4" w:space="0" w:color="auto"/>
            </w:tcBorders>
            <w:shd w:val="clear" w:color="auto" w:fill="ABD9F8" w:themeFill="accent1" w:themeFillTint="66"/>
          </w:tcPr>
          <w:p w:rsidR="00886514" w:rsidRPr="00E75D2D" w:rsidRDefault="00886514" w:rsidP="0085256C">
            <w:pPr>
              <w:rPr>
                <w:rFonts w:cstheme="minorHAnsi"/>
                <w:color w:val="000000"/>
                <w:sz w:val="20"/>
                <w:szCs w:val="20"/>
              </w:rPr>
            </w:pPr>
            <w:r w:rsidRPr="00E75D2D">
              <w:rPr>
                <w:rFonts w:cstheme="minorHAnsi"/>
                <w:color w:val="000000"/>
                <w:sz w:val="20"/>
                <w:szCs w:val="20"/>
              </w:rPr>
              <w:t>GM Foods</w:t>
            </w:r>
          </w:p>
        </w:tc>
        <w:tc>
          <w:tcPr>
            <w:tcW w:w="1302" w:type="dxa"/>
            <w:tcBorders>
              <w:top w:val="single" w:sz="4" w:space="0" w:color="auto"/>
              <w:left w:val="single" w:sz="4" w:space="0" w:color="auto"/>
              <w:bottom w:val="single" w:sz="4" w:space="0" w:color="auto"/>
              <w:right w:val="single" w:sz="4" w:space="0" w:color="auto"/>
            </w:tcBorders>
            <w:shd w:val="clear" w:color="auto" w:fill="ABD9F8" w:themeFill="accent1" w:themeFillTint="66"/>
          </w:tcPr>
          <w:p w:rsidR="00886514" w:rsidRPr="00E75D2D" w:rsidRDefault="00886514" w:rsidP="0085256C">
            <w:pPr>
              <w:rPr>
                <w:rFonts w:cstheme="minorHAnsi"/>
                <w:color w:val="000000"/>
                <w:sz w:val="20"/>
                <w:szCs w:val="20"/>
              </w:rPr>
            </w:pPr>
            <w:r w:rsidRPr="00E75D2D">
              <w:rPr>
                <w:rFonts w:cstheme="minorHAnsi"/>
                <w:color w:val="000000"/>
                <w:sz w:val="20"/>
                <w:szCs w:val="20"/>
              </w:rPr>
              <w:t>Consensus Conference</w:t>
            </w:r>
          </w:p>
        </w:tc>
        <w:tc>
          <w:tcPr>
            <w:tcW w:w="2030" w:type="dxa"/>
            <w:tcBorders>
              <w:top w:val="single" w:sz="4" w:space="0" w:color="auto"/>
              <w:left w:val="single" w:sz="4" w:space="0" w:color="auto"/>
              <w:bottom w:val="single" w:sz="4" w:space="0" w:color="auto"/>
              <w:right w:val="single" w:sz="4" w:space="0" w:color="auto"/>
            </w:tcBorders>
            <w:shd w:val="clear" w:color="auto" w:fill="ABD9F8" w:themeFill="accent1" w:themeFillTint="66"/>
          </w:tcPr>
          <w:p w:rsidR="00886514" w:rsidRPr="00E75D2D" w:rsidRDefault="00886514" w:rsidP="0085256C">
            <w:pPr>
              <w:rPr>
                <w:rFonts w:cstheme="minorHAnsi"/>
                <w:color w:val="000000"/>
                <w:sz w:val="20"/>
                <w:szCs w:val="20"/>
              </w:rPr>
            </w:pPr>
            <w:r w:rsidRPr="00E75D2D">
              <w:rPr>
                <w:rFonts w:cstheme="minorHAnsi"/>
                <w:color w:val="000000"/>
                <w:sz w:val="20"/>
                <w:szCs w:val="20"/>
              </w:rPr>
              <w:t>Copenhagen</w:t>
            </w:r>
          </w:p>
        </w:tc>
        <w:tc>
          <w:tcPr>
            <w:tcW w:w="681" w:type="dxa"/>
            <w:tcBorders>
              <w:top w:val="single" w:sz="4" w:space="0" w:color="auto"/>
              <w:left w:val="single" w:sz="4" w:space="0" w:color="auto"/>
              <w:bottom w:val="single" w:sz="4" w:space="0" w:color="auto"/>
              <w:right w:val="single" w:sz="4" w:space="0" w:color="auto"/>
            </w:tcBorders>
            <w:shd w:val="clear" w:color="auto" w:fill="ABD9F8" w:themeFill="accent1" w:themeFillTint="66"/>
          </w:tcPr>
          <w:p w:rsidR="00886514" w:rsidRPr="00E75D2D" w:rsidRDefault="00886514" w:rsidP="0085256C">
            <w:pPr>
              <w:jc w:val="right"/>
              <w:rPr>
                <w:rFonts w:cstheme="minorHAnsi"/>
                <w:color w:val="000000"/>
                <w:sz w:val="20"/>
                <w:szCs w:val="20"/>
              </w:rPr>
            </w:pPr>
            <w:r w:rsidRPr="00E75D2D">
              <w:rPr>
                <w:rFonts w:cstheme="minorHAnsi"/>
                <w:color w:val="000000"/>
                <w:sz w:val="20"/>
                <w:szCs w:val="20"/>
              </w:rPr>
              <w:t>1999</w:t>
            </w:r>
          </w:p>
        </w:tc>
        <w:tc>
          <w:tcPr>
            <w:tcW w:w="953" w:type="dxa"/>
            <w:tcBorders>
              <w:top w:val="single" w:sz="4" w:space="0" w:color="auto"/>
              <w:left w:val="single" w:sz="4" w:space="0" w:color="auto"/>
              <w:bottom w:val="single" w:sz="4" w:space="0" w:color="auto"/>
              <w:right w:val="single" w:sz="4" w:space="0" w:color="auto"/>
            </w:tcBorders>
            <w:shd w:val="clear" w:color="auto" w:fill="ABD9F8" w:themeFill="accent1" w:themeFillTint="66"/>
          </w:tcPr>
          <w:p w:rsidR="00886514" w:rsidRPr="00E75D2D" w:rsidRDefault="00886514" w:rsidP="0085256C">
            <w:pPr>
              <w:rPr>
                <w:rFonts w:cstheme="minorHAnsi"/>
                <w:color w:val="000000"/>
                <w:sz w:val="20"/>
                <w:szCs w:val="20"/>
              </w:rPr>
            </w:pPr>
            <w:r w:rsidRPr="00E75D2D">
              <w:rPr>
                <w:rFonts w:cstheme="minorHAnsi"/>
                <w:color w:val="000000"/>
                <w:sz w:val="20"/>
                <w:szCs w:val="20"/>
              </w:rPr>
              <w:t>4 days</w:t>
            </w:r>
          </w:p>
        </w:tc>
        <w:tc>
          <w:tcPr>
            <w:tcW w:w="1235" w:type="dxa"/>
            <w:tcBorders>
              <w:top w:val="single" w:sz="4" w:space="0" w:color="auto"/>
              <w:left w:val="single" w:sz="4" w:space="0" w:color="auto"/>
              <w:bottom w:val="single" w:sz="4" w:space="0" w:color="auto"/>
              <w:right w:val="single" w:sz="4" w:space="0" w:color="auto"/>
            </w:tcBorders>
            <w:shd w:val="clear" w:color="auto" w:fill="ABD9F8" w:themeFill="accent1" w:themeFillTint="66"/>
          </w:tcPr>
          <w:p w:rsidR="00886514" w:rsidRPr="00E75D2D" w:rsidRDefault="00886514" w:rsidP="0085256C">
            <w:pPr>
              <w:rPr>
                <w:rFonts w:cstheme="minorHAnsi"/>
                <w:color w:val="000000"/>
                <w:sz w:val="20"/>
                <w:szCs w:val="20"/>
              </w:rPr>
            </w:pPr>
            <w:r w:rsidRPr="00E75D2D">
              <w:rPr>
                <w:rFonts w:cstheme="minorHAnsi"/>
                <w:color w:val="000000"/>
                <w:sz w:val="20"/>
                <w:szCs w:val="20"/>
              </w:rPr>
              <w:t>14</w:t>
            </w:r>
          </w:p>
        </w:tc>
        <w:tc>
          <w:tcPr>
            <w:tcW w:w="1633" w:type="dxa"/>
            <w:tcBorders>
              <w:top w:val="single" w:sz="4" w:space="0" w:color="auto"/>
              <w:left w:val="single" w:sz="4" w:space="0" w:color="auto"/>
              <w:bottom w:val="single" w:sz="4" w:space="0" w:color="auto"/>
              <w:right w:val="single" w:sz="4" w:space="0" w:color="auto"/>
            </w:tcBorders>
            <w:shd w:val="clear" w:color="auto" w:fill="ABD9F8" w:themeFill="accent1" w:themeFillTint="66"/>
          </w:tcPr>
          <w:p w:rsidR="00886514" w:rsidRPr="00E75D2D" w:rsidRDefault="00886514" w:rsidP="0085256C">
            <w:pPr>
              <w:rPr>
                <w:rFonts w:cstheme="minorHAnsi"/>
                <w:color w:val="000000"/>
                <w:sz w:val="20"/>
                <w:szCs w:val="20"/>
              </w:rPr>
            </w:pPr>
            <w:r w:rsidRPr="00E75D2D">
              <w:rPr>
                <w:rFonts w:cstheme="minorHAnsi"/>
                <w:color w:val="000000"/>
                <w:sz w:val="20"/>
                <w:szCs w:val="20"/>
              </w:rPr>
              <w:t>Don't know</w:t>
            </w:r>
          </w:p>
        </w:tc>
      </w:tr>
      <w:tr w:rsidR="00886514" w:rsidTr="0085256C">
        <w:tc>
          <w:tcPr>
            <w:tcW w:w="509" w:type="dxa"/>
            <w:vAlign w:val="center"/>
          </w:tcPr>
          <w:p w:rsidR="00886514" w:rsidRPr="00494EAD" w:rsidRDefault="00886514" w:rsidP="0085256C">
            <w:pPr>
              <w:rPr>
                <w:rFonts w:cstheme="minorHAnsi"/>
                <w:b/>
                <w:i/>
                <w:sz w:val="20"/>
                <w:szCs w:val="20"/>
              </w:rPr>
            </w:pPr>
            <w:r w:rsidRPr="00494EAD">
              <w:rPr>
                <w:rFonts w:cstheme="minorHAnsi"/>
                <w:b/>
                <w:i/>
                <w:sz w:val="20"/>
                <w:szCs w:val="20"/>
              </w:rPr>
              <w:t>17</w:t>
            </w:r>
          </w:p>
        </w:tc>
        <w:tc>
          <w:tcPr>
            <w:tcW w:w="2856" w:type="dxa"/>
            <w:tcBorders>
              <w:top w:val="nil"/>
              <w:left w:val="single" w:sz="4" w:space="0" w:color="auto"/>
              <w:bottom w:val="single" w:sz="4" w:space="0" w:color="auto"/>
              <w:right w:val="single" w:sz="4" w:space="0" w:color="auto"/>
            </w:tcBorders>
            <w:shd w:val="clear" w:color="auto" w:fill="auto"/>
            <w:vAlign w:val="bottom"/>
          </w:tcPr>
          <w:p w:rsidR="00886514" w:rsidRPr="00E75D2D" w:rsidRDefault="00886514" w:rsidP="0085256C">
            <w:pPr>
              <w:rPr>
                <w:rFonts w:cstheme="minorHAnsi"/>
                <w:color w:val="000000"/>
                <w:sz w:val="20"/>
                <w:szCs w:val="20"/>
              </w:rPr>
            </w:pPr>
            <w:r w:rsidRPr="00E75D2D">
              <w:rPr>
                <w:rFonts w:cstheme="minorHAnsi"/>
                <w:color w:val="000000"/>
                <w:sz w:val="20"/>
                <w:szCs w:val="20"/>
              </w:rPr>
              <w:t xml:space="preserve">Physical activity </w:t>
            </w:r>
          </w:p>
        </w:tc>
        <w:tc>
          <w:tcPr>
            <w:tcW w:w="1302" w:type="dxa"/>
            <w:tcBorders>
              <w:top w:val="nil"/>
              <w:left w:val="single" w:sz="4" w:space="0" w:color="auto"/>
              <w:bottom w:val="single" w:sz="4" w:space="0" w:color="auto"/>
              <w:right w:val="single" w:sz="4" w:space="0" w:color="auto"/>
            </w:tcBorders>
            <w:shd w:val="clear" w:color="auto" w:fill="auto"/>
            <w:vAlign w:val="bottom"/>
          </w:tcPr>
          <w:p w:rsidR="00886514" w:rsidRPr="00E75D2D" w:rsidRDefault="00886514" w:rsidP="0085256C">
            <w:pPr>
              <w:rPr>
                <w:rFonts w:cstheme="minorHAnsi"/>
                <w:color w:val="000000"/>
                <w:sz w:val="20"/>
                <w:szCs w:val="20"/>
              </w:rPr>
            </w:pPr>
            <w:r w:rsidRPr="00E75D2D">
              <w:rPr>
                <w:rFonts w:cstheme="minorHAnsi"/>
                <w:color w:val="000000"/>
                <w:sz w:val="20"/>
                <w:szCs w:val="20"/>
              </w:rPr>
              <w:t>Consensus Conference</w:t>
            </w:r>
          </w:p>
        </w:tc>
        <w:tc>
          <w:tcPr>
            <w:tcW w:w="2030" w:type="dxa"/>
            <w:tcBorders>
              <w:top w:val="nil"/>
              <w:left w:val="single" w:sz="4" w:space="0" w:color="auto"/>
              <w:bottom w:val="single" w:sz="4" w:space="0" w:color="auto"/>
              <w:right w:val="single" w:sz="4" w:space="0" w:color="auto"/>
            </w:tcBorders>
            <w:shd w:val="clear" w:color="auto" w:fill="auto"/>
            <w:vAlign w:val="bottom"/>
          </w:tcPr>
          <w:p w:rsidR="00886514" w:rsidRPr="00E75D2D" w:rsidRDefault="00886514" w:rsidP="0085256C">
            <w:pPr>
              <w:rPr>
                <w:rFonts w:cstheme="minorHAnsi"/>
                <w:color w:val="000000"/>
                <w:sz w:val="20"/>
                <w:szCs w:val="20"/>
              </w:rPr>
            </w:pPr>
            <w:proofErr w:type="spellStart"/>
            <w:r w:rsidRPr="00E75D2D">
              <w:rPr>
                <w:rFonts w:cstheme="minorHAnsi"/>
                <w:color w:val="000000"/>
                <w:sz w:val="20"/>
                <w:szCs w:val="20"/>
              </w:rPr>
              <w:t>Snekkersten</w:t>
            </w:r>
            <w:proofErr w:type="spellEnd"/>
          </w:p>
        </w:tc>
        <w:tc>
          <w:tcPr>
            <w:tcW w:w="681" w:type="dxa"/>
            <w:tcBorders>
              <w:top w:val="nil"/>
              <w:left w:val="single" w:sz="4" w:space="0" w:color="auto"/>
              <w:bottom w:val="single" w:sz="4" w:space="0" w:color="auto"/>
              <w:right w:val="single" w:sz="4" w:space="0" w:color="auto"/>
            </w:tcBorders>
            <w:shd w:val="clear" w:color="auto" w:fill="auto"/>
            <w:vAlign w:val="bottom"/>
          </w:tcPr>
          <w:p w:rsidR="00886514" w:rsidRPr="00E75D2D" w:rsidRDefault="00886514" w:rsidP="0085256C">
            <w:pPr>
              <w:jc w:val="right"/>
              <w:rPr>
                <w:rFonts w:cstheme="minorHAnsi"/>
                <w:color w:val="000000"/>
                <w:sz w:val="20"/>
                <w:szCs w:val="20"/>
              </w:rPr>
            </w:pPr>
            <w:r w:rsidRPr="00E75D2D">
              <w:rPr>
                <w:rFonts w:cstheme="minorHAnsi"/>
                <w:color w:val="000000"/>
                <w:sz w:val="20"/>
                <w:szCs w:val="20"/>
              </w:rPr>
              <w:t>2016</w:t>
            </w:r>
          </w:p>
        </w:tc>
        <w:tc>
          <w:tcPr>
            <w:tcW w:w="953" w:type="dxa"/>
            <w:tcBorders>
              <w:top w:val="nil"/>
              <w:left w:val="single" w:sz="4" w:space="0" w:color="auto"/>
              <w:bottom w:val="single" w:sz="4" w:space="0" w:color="auto"/>
              <w:right w:val="single" w:sz="4" w:space="0" w:color="auto"/>
            </w:tcBorders>
            <w:shd w:val="clear" w:color="auto" w:fill="auto"/>
            <w:vAlign w:val="bottom"/>
          </w:tcPr>
          <w:p w:rsidR="00886514" w:rsidRPr="00E75D2D" w:rsidRDefault="00886514" w:rsidP="0085256C">
            <w:pPr>
              <w:rPr>
                <w:rFonts w:cstheme="minorHAnsi"/>
                <w:color w:val="000000"/>
                <w:sz w:val="20"/>
                <w:szCs w:val="20"/>
              </w:rPr>
            </w:pPr>
            <w:r w:rsidRPr="00E75D2D">
              <w:rPr>
                <w:rFonts w:cstheme="minorHAnsi"/>
                <w:color w:val="000000"/>
                <w:sz w:val="20"/>
                <w:szCs w:val="20"/>
              </w:rPr>
              <w:t>4 days</w:t>
            </w:r>
          </w:p>
        </w:tc>
        <w:tc>
          <w:tcPr>
            <w:tcW w:w="1235" w:type="dxa"/>
            <w:tcBorders>
              <w:top w:val="nil"/>
              <w:left w:val="single" w:sz="4" w:space="0" w:color="auto"/>
              <w:bottom w:val="single" w:sz="4" w:space="0" w:color="auto"/>
              <w:right w:val="single" w:sz="4" w:space="0" w:color="auto"/>
            </w:tcBorders>
            <w:shd w:val="clear" w:color="auto" w:fill="auto"/>
            <w:vAlign w:val="bottom"/>
          </w:tcPr>
          <w:p w:rsidR="00886514" w:rsidRPr="00E75D2D" w:rsidRDefault="00886514" w:rsidP="0085256C">
            <w:pPr>
              <w:rPr>
                <w:rFonts w:cstheme="minorHAnsi"/>
                <w:color w:val="000000"/>
                <w:sz w:val="20"/>
                <w:szCs w:val="20"/>
              </w:rPr>
            </w:pPr>
            <w:r w:rsidRPr="00E75D2D">
              <w:rPr>
                <w:rFonts w:cstheme="minorHAnsi"/>
                <w:color w:val="000000"/>
                <w:sz w:val="20"/>
                <w:szCs w:val="20"/>
              </w:rPr>
              <w:t>24</w:t>
            </w:r>
          </w:p>
        </w:tc>
        <w:tc>
          <w:tcPr>
            <w:tcW w:w="1633" w:type="dxa"/>
            <w:tcBorders>
              <w:top w:val="nil"/>
              <w:left w:val="single" w:sz="4" w:space="0" w:color="auto"/>
              <w:bottom w:val="single" w:sz="4" w:space="0" w:color="auto"/>
              <w:right w:val="single" w:sz="4" w:space="0" w:color="auto"/>
            </w:tcBorders>
            <w:shd w:val="clear" w:color="auto" w:fill="auto"/>
            <w:vAlign w:val="bottom"/>
          </w:tcPr>
          <w:p w:rsidR="00886514" w:rsidRPr="00E75D2D" w:rsidRDefault="00886514" w:rsidP="0085256C">
            <w:pPr>
              <w:rPr>
                <w:rFonts w:cstheme="minorHAnsi"/>
                <w:color w:val="000000"/>
                <w:sz w:val="20"/>
                <w:szCs w:val="20"/>
              </w:rPr>
            </w:pPr>
            <w:r w:rsidRPr="00E75D2D">
              <w:rPr>
                <w:rFonts w:cstheme="minorHAnsi"/>
                <w:color w:val="000000"/>
                <w:sz w:val="20"/>
                <w:szCs w:val="20"/>
              </w:rPr>
              <w:t>Other (self-selected)</w:t>
            </w:r>
          </w:p>
        </w:tc>
      </w:tr>
      <w:tr w:rsidR="00886514" w:rsidTr="00BC070F">
        <w:tc>
          <w:tcPr>
            <w:tcW w:w="509" w:type="dxa"/>
            <w:shd w:val="clear" w:color="auto" w:fill="ABD9F8" w:themeFill="accent1" w:themeFillTint="66"/>
            <w:vAlign w:val="center"/>
          </w:tcPr>
          <w:p w:rsidR="00886514" w:rsidRPr="00494EAD" w:rsidRDefault="00886514" w:rsidP="0085256C">
            <w:pPr>
              <w:rPr>
                <w:rFonts w:cstheme="minorHAnsi"/>
                <w:b/>
                <w:i/>
                <w:sz w:val="20"/>
                <w:szCs w:val="20"/>
              </w:rPr>
            </w:pPr>
            <w:r w:rsidRPr="00494EAD">
              <w:rPr>
                <w:rFonts w:cstheme="minorHAnsi"/>
                <w:b/>
                <w:i/>
                <w:sz w:val="20"/>
                <w:szCs w:val="20"/>
              </w:rPr>
              <w:t>18</w:t>
            </w:r>
          </w:p>
        </w:tc>
        <w:tc>
          <w:tcPr>
            <w:tcW w:w="2856" w:type="dxa"/>
            <w:tcBorders>
              <w:top w:val="nil"/>
              <w:left w:val="single" w:sz="4" w:space="0" w:color="auto"/>
              <w:bottom w:val="single" w:sz="4" w:space="0" w:color="auto"/>
              <w:right w:val="single" w:sz="4" w:space="0" w:color="auto"/>
            </w:tcBorders>
            <w:shd w:val="clear" w:color="auto" w:fill="ABD9F8" w:themeFill="accent1" w:themeFillTint="66"/>
            <w:vAlign w:val="bottom"/>
          </w:tcPr>
          <w:p w:rsidR="00886514" w:rsidRPr="00E75D2D" w:rsidRDefault="00886514" w:rsidP="0085256C">
            <w:pPr>
              <w:rPr>
                <w:rFonts w:cstheme="minorHAnsi"/>
                <w:color w:val="000000"/>
                <w:sz w:val="20"/>
                <w:szCs w:val="20"/>
              </w:rPr>
            </w:pPr>
            <w:r w:rsidRPr="00E75D2D">
              <w:rPr>
                <w:rFonts w:cstheme="minorHAnsi"/>
                <w:color w:val="000000"/>
                <w:sz w:val="20"/>
                <w:szCs w:val="20"/>
              </w:rPr>
              <w:t>Health Care Reform</w:t>
            </w:r>
          </w:p>
        </w:tc>
        <w:tc>
          <w:tcPr>
            <w:tcW w:w="1302" w:type="dxa"/>
            <w:tcBorders>
              <w:top w:val="nil"/>
              <w:left w:val="single" w:sz="4" w:space="0" w:color="auto"/>
              <w:bottom w:val="single" w:sz="4" w:space="0" w:color="auto"/>
              <w:right w:val="single" w:sz="4" w:space="0" w:color="auto"/>
            </w:tcBorders>
            <w:shd w:val="clear" w:color="auto" w:fill="ABD9F8" w:themeFill="accent1" w:themeFillTint="66"/>
            <w:vAlign w:val="bottom"/>
          </w:tcPr>
          <w:p w:rsidR="00886514" w:rsidRPr="00E75D2D" w:rsidRDefault="00886514" w:rsidP="0085256C">
            <w:pPr>
              <w:rPr>
                <w:rFonts w:cstheme="minorHAnsi"/>
                <w:color w:val="000000"/>
                <w:sz w:val="20"/>
                <w:szCs w:val="20"/>
              </w:rPr>
            </w:pPr>
            <w:r w:rsidRPr="00E75D2D">
              <w:rPr>
                <w:rFonts w:cstheme="minorHAnsi"/>
                <w:color w:val="000000"/>
                <w:sz w:val="20"/>
                <w:szCs w:val="20"/>
              </w:rPr>
              <w:t>Consensus Conference</w:t>
            </w:r>
          </w:p>
        </w:tc>
        <w:tc>
          <w:tcPr>
            <w:tcW w:w="2030" w:type="dxa"/>
            <w:tcBorders>
              <w:top w:val="nil"/>
              <w:left w:val="single" w:sz="4" w:space="0" w:color="auto"/>
              <w:bottom w:val="single" w:sz="4" w:space="0" w:color="auto"/>
              <w:right w:val="single" w:sz="4" w:space="0" w:color="auto"/>
            </w:tcBorders>
            <w:shd w:val="clear" w:color="auto" w:fill="ABD9F8" w:themeFill="accent1" w:themeFillTint="66"/>
            <w:vAlign w:val="bottom"/>
          </w:tcPr>
          <w:p w:rsidR="00886514" w:rsidRPr="00E75D2D" w:rsidRDefault="00886514" w:rsidP="0085256C">
            <w:pPr>
              <w:rPr>
                <w:rFonts w:cstheme="minorHAnsi"/>
                <w:color w:val="000000"/>
                <w:sz w:val="20"/>
                <w:szCs w:val="20"/>
              </w:rPr>
            </w:pPr>
            <w:r w:rsidRPr="00E75D2D">
              <w:rPr>
                <w:rFonts w:cstheme="minorHAnsi"/>
                <w:color w:val="000000"/>
                <w:sz w:val="20"/>
                <w:szCs w:val="20"/>
              </w:rPr>
              <w:t>Copenhagen</w:t>
            </w:r>
          </w:p>
        </w:tc>
        <w:tc>
          <w:tcPr>
            <w:tcW w:w="681" w:type="dxa"/>
            <w:tcBorders>
              <w:top w:val="nil"/>
              <w:left w:val="single" w:sz="4" w:space="0" w:color="auto"/>
              <w:bottom w:val="single" w:sz="4" w:space="0" w:color="auto"/>
              <w:right w:val="single" w:sz="4" w:space="0" w:color="auto"/>
            </w:tcBorders>
            <w:shd w:val="clear" w:color="auto" w:fill="ABD9F8" w:themeFill="accent1" w:themeFillTint="66"/>
            <w:vAlign w:val="bottom"/>
          </w:tcPr>
          <w:p w:rsidR="00886514" w:rsidRPr="00E75D2D" w:rsidRDefault="00886514" w:rsidP="0085256C">
            <w:pPr>
              <w:jc w:val="right"/>
              <w:rPr>
                <w:rFonts w:cstheme="minorHAnsi"/>
                <w:color w:val="000000"/>
                <w:sz w:val="20"/>
                <w:szCs w:val="20"/>
              </w:rPr>
            </w:pPr>
            <w:r w:rsidRPr="00E75D2D">
              <w:rPr>
                <w:rFonts w:cstheme="minorHAnsi"/>
                <w:color w:val="000000"/>
                <w:sz w:val="20"/>
                <w:szCs w:val="20"/>
              </w:rPr>
              <w:t>2016</w:t>
            </w:r>
          </w:p>
        </w:tc>
        <w:tc>
          <w:tcPr>
            <w:tcW w:w="953" w:type="dxa"/>
            <w:tcBorders>
              <w:top w:val="nil"/>
              <w:left w:val="single" w:sz="4" w:space="0" w:color="auto"/>
              <w:bottom w:val="single" w:sz="4" w:space="0" w:color="auto"/>
              <w:right w:val="single" w:sz="4" w:space="0" w:color="auto"/>
            </w:tcBorders>
            <w:shd w:val="clear" w:color="auto" w:fill="ABD9F8" w:themeFill="accent1" w:themeFillTint="66"/>
            <w:vAlign w:val="bottom"/>
          </w:tcPr>
          <w:p w:rsidR="00886514" w:rsidRPr="00E75D2D" w:rsidRDefault="00886514" w:rsidP="0085256C">
            <w:pPr>
              <w:rPr>
                <w:rFonts w:cstheme="minorHAnsi"/>
                <w:color w:val="000000"/>
                <w:sz w:val="20"/>
                <w:szCs w:val="20"/>
              </w:rPr>
            </w:pPr>
            <w:r w:rsidRPr="00E75D2D">
              <w:rPr>
                <w:rFonts w:cstheme="minorHAnsi"/>
                <w:color w:val="000000"/>
                <w:sz w:val="20"/>
                <w:szCs w:val="20"/>
              </w:rPr>
              <w:t>Don't know</w:t>
            </w:r>
          </w:p>
        </w:tc>
        <w:tc>
          <w:tcPr>
            <w:tcW w:w="1235" w:type="dxa"/>
            <w:tcBorders>
              <w:top w:val="nil"/>
              <w:left w:val="single" w:sz="4" w:space="0" w:color="auto"/>
              <w:bottom w:val="single" w:sz="4" w:space="0" w:color="auto"/>
              <w:right w:val="single" w:sz="4" w:space="0" w:color="auto"/>
            </w:tcBorders>
            <w:shd w:val="clear" w:color="auto" w:fill="ABD9F8" w:themeFill="accent1" w:themeFillTint="66"/>
            <w:vAlign w:val="bottom"/>
          </w:tcPr>
          <w:p w:rsidR="00886514" w:rsidRPr="00E75D2D" w:rsidRDefault="00886514" w:rsidP="0085256C">
            <w:pPr>
              <w:rPr>
                <w:rFonts w:cstheme="minorHAnsi"/>
                <w:color w:val="000000"/>
                <w:sz w:val="20"/>
                <w:szCs w:val="20"/>
              </w:rPr>
            </w:pPr>
            <w:r w:rsidRPr="00E75D2D">
              <w:rPr>
                <w:rFonts w:cstheme="minorHAnsi"/>
                <w:color w:val="000000"/>
                <w:sz w:val="20"/>
                <w:szCs w:val="20"/>
              </w:rPr>
              <w:t>Don't know</w:t>
            </w:r>
          </w:p>
        </w:tc>
        <w:tc>
          <w:tcPr>
            <w:tcW w:w="1633" w:type="dxa"/>
            <w:tcBorders>
              <w:top w:val="nil"/>
              <w:left w:val="single" w:sz="4" w:space="0" w:color="auto"/>
              <w:bottom w:val="single" w:sz="4" w:space="0" w:color="auto"/>
              <w:right w:val="single" w:sz="4" w:space="0" w:color="auto"/>
            </w:tcBorders>
            <w:shd w:val="clear" w:color="auto" w:fill="ABD9F8" w:themeFill="accent1" w:themeFillTint="66"/>
            <w:vAlign w:val="bottom"/>
          </w:tcPr>
          <w:p w:rsidR="00886514" w:rsidRPr="00E75D2D" w:rsidRDefault="00886514" w:rsidP="0085256C">
            <w:pPr>
              <w:rPr>
                <w:rFonts w:cstheme="minorHAnsi"/>
                <w:color w:val="000000"/>
                <w:sz w:val="20"/>
                <w:szCs w:val="20"/>
              </w:rPr>
            </w:pPr>
            <w:r w:rsidRPr="00E75D2D">
              <w:rPr>
                <w:rFonts w:cstheme="minorHAnsi"/>
                <w:color w:val="000000"/>
                <w:sz w:val="20"/>
                <w:szCs w:val="20"/>
              </w:rPr>
              <w:t>Don't know</w:t>
            </w:r>
          </w:p>
        </w:tc>
      </w:tr>
      <w:tr w:rsidR="00886514" w:rsidTr="0085256C">
        <w:tc>
          <w:tcPr>
            <w:tcW w:w="509" w:type="dxa"/>
            <w:vAlign w:val="center"/>
          </w:tcPr>
          <w:p w:rsidR="00886514" w:rsidRPr="00494EAD" w:rsidRDefault="00886514" w:rsidP="0085256C">
            <w:pPr>
              <w:rPr>
                <w:rFonts w:cstheme="minorHAnsi"/>
                <w:b/>
                <w:i/>
                <w:sz w:val="20"/>
                <w:szCs w:val="20"/>
              </w:rPr>
            </w:pPr>
            <w:r w:rsidRPr="00494EAD">
              <w:rPr>
                <w:rFonts w:cstheme="minorHAnsi"/>
                <w:b/>
                <w:i/>
                <w:sz w:val="20"/>
                <w:szCs w:val="20"/>
              </w:rPr>
              <w:t>19</w:t>
            </w:r>
          </w:p>
        </w:tc>
        <w:tc>
          <w:tcPr>
            <w:tcW w:w="2856" w:type="dxa"/>
            <w:tcBorders>
              <w:top w:val="nil"/>
              <w:left w:val="single" w:sz="4" w:space="0" w:color="auto"/>
              <w:bottom w:val="single" w:sz="4" w:space="0" w:color="auto"/>
              <w:right w:val="single" w:sz="4" w:space="0" w:color="auto"/>
            </w:tcBorders>
            <w:shd w:val="clear" w:color="000000" w:fill="FFFFFF"/>
            <w:vAlign w:val="bottom"/>
          </w:tcPr>
          <w:p w:rsidR="00886514" w:rsidRPr="00E75D2D" w:rsidRDefault="00886514" w:rsidP="0085256C">
            <w:pPr>
              <w:rPr>
                <w:rFonts w:cstheme="minorHAnsi"/>
                <w:color w:val="000000"/>
                <w:sz w:val="20"/>
                <w:szCs w:val="20"/>
              </w:rPr>
            </w:pPr>
            <w:proofErr w:type="spellStart"/>
            <w:r w:rsidRPr="00E75D2D">
              <w:rPr>
                <w:rFonts w:cstheme="minorHAnsi"/>
                <w:color w:val="000000"/>
                <w:sz w:val="20"/>
                <w:szCs w:val="20"/>
              </w:rPr>
              <w:t>Euthenasia</w:t>
            </w:r>
            <w:proofErr w:type="spellEnd"/>
          </w:p>
        </w:tc>
        <w:tc>
          <w:tcPr>
            <w:tcW w:w="1302" w:type="dxa"/>
            <w:tcBorders>
              <w:top w:val="nil"/>
              <w:left w:val="single" w:sz="4" w:space="0" w:color="auto"/>
              <w:bottom w:val="single" w:sz="4" w:space="0" w:color="auto"/>
              <w:right w:val="single" w:sz="4" w:space="0" w:color="auto"/>
            </w:tcBorders>
            <w:shd w:val="clear" w:color="000000" w:fill="FFFFFF"/>
            <w:vAlign w:val="bottom"/>
          </w:tcPr>
          <w:p w:rsidR="00886514" w:rsidRPr="00E75D2D" w:rsidRDefault="00886514" w:rsidP="0085256C">
            <w:pPr>
              <w:rPr>
                <w:rFonts w:cstheme="minorHAnsi"/>
                <w:color w:val="000000"/>
                <w:sz w:val="20"/>
                <w:szCs w:val="20"/>
              </w:rPr>
            </w:pPr>
            <w:r w:rsidRPr="00E75D2D">
              <w:rPr>
                <w:rFonts w:cstheme="minorHAnsi"/>
                <w:color w:val="000000"/>
                <w:sz w:val="20"/>
                <w:szCs w:val="20"/>
              </w:rPr>
              <w:t>Citizens' Assembly</w:t>
            </w:r>
          </w:p>
        </w:tc>
        <w:tc>
          <w:tcPr>
            <w:tcW w:w="2030" w:type="dxa"/>
            <w:tcBorders>
              <w:top w:val="nil"/>
              <w:left w:val="single" w:sz="4" w:space="0" w:color="auto"/>
              <w:bottom w:val="single" w:sz="4" w:space="0" w:color="auto"/>
              <w:right w:val="single" w:sz="4" w:space="0" w:color="auto"/>
            </w:tcBorders>
            <w:shd w:val="clear" w:color="000000" w:fill="FFFFFF"/>
            <w:vAlign w:val="bottom"/>
          </w:tcPr>
          <w:p w:rsidR="00886514" w:rsidRPr="00E75D2D" w:rsidRDefault="00886514" w:rsidP="0085256C">
            <w:pPr>
              <w:rPr>
                <w:rFonts w:cstheme="minorHAnsi"/>
                <w:color w:val="000000"/>
                <w:sz w:val="20"/>
                <w:szCs w:val="20"/>
              </w:rPr>
            </w:pPr>
            <w:r w:rsidRPr="00E75D2D">
              <w:rPr>
                <w:rFonts w:cstheme="minorHAnsi"/>
                <w:color w:val="000000"/>
                <w:sz w:val="20"/>
                <w:szCs w:val="20"/>
              </w:rPr>
              <w:t>Various Finnish cities</w:t>
            </w:r>
          </w:p>
        </w:tc>
        <w:tc>
          <w:tcPr>
            <w:tcW w:w="681" w:type="dxa"/>
            <w:tcBorders>
              <w:top w:val="nil"/>
              <w:left w:val="single" w:sz="4" w:space="0" w:color="auto"/>
              <w:bottom w:val="single" w:sz="4" w:space="0" w:color="auto"/>
              <w:right w:val="single" w:sz="4" w:space="0" w:color="auto"/>
            </w:tcBorders>
            <w:shd w:val="clear" w:color="000000" w:fill="FFFFFF"/>
            <w:vAlign w:val="bottom"/>
          </w:tcPr>
          <w:p w:rsidR="00886514" w:rsidRPr="00E75D2D" w:rsidRDefault="00886514" w:rsidP="0085256C">
            <w:pPr>
              <w:jc w:val="right"/>
              <w:rPr>
                <w:rFonts w:cstheme="minorHAnsi"/>
                <w:color w:val="000000"/>
                <w:sz w:val="20"/>
                <w:szCs w:val="20"/>
              </w:rPr>
            </w:pPr>
            <w:r w:rsidRPr="00E75D2D">
              <w:rPr>
                <w:rFonts w:cstheme="minorHAnsi"/>
                <w:color w:val="000000"/>
                <w:sz w:val="20"/>
                <w:szCs w:val="20"/>
              </w:rPr>
              <w:t>2013</w:t>
            </w:r>
          </w:p>
        </w:tc>
        <w:tc>
          <w:tcPr>
            <w:tcW w:w="953" w:type="dxa"/>
            <w:tcBorders>
              <w:top w:val="nil"/>
              <w:left w:val="single" w:sz="4" w:space="0" w:color="auto"/>
              <w:bottom w:val="single" w:sz="4" w:space="0" w:color="auto"/>
              <w:right w:val="single" w:sz="4" w:space="0" w:color="auto"/>
            </w:tcBorders>
            <w:shd w:val="clear" w:color="auto" w:fill="auto"/>
            <w:vAlign w:val="bottom"/>
          </w:tcPr>
          <w:p w:rsidR="00886514" w:rsidRPr="00E75D2D" w:rsidRDefault="00886514" w:rsidP="0085256C">
            <w:pPr>
              <w:rPr>
                <w:rFonts w:cstheme="minorHAnsi"/>
                <w:color w:val="000000"/>
                <w:sz w:val="20"/>
                <w:szCs w:val="20"/>
              </w:rPr>
            </w:pPr>
            <w:r w:rsidRPr="00E75D2D">
              <w:rPr>
                <w:rFonts w:cstheme="minorHAnsi"/>
                <w:color w:val="000000"/>
                <w:sz w:val="20"/>
                <w:szCs w:val="20"/>
              </w:rPr>
              <w:t>4hrs</w:t>
            </w:r>
          </w:p>
        </w:tc>
        <w:tc>
          <w:tcPr>
            <w:tcW w:w="1235" w:type="dxa"/>
            <w:tcBorders>
              <w:top w:val="nil"/>
              <w:left w:val="single" w:sz="4" w:space="0" w:color="auto"/>
              <w:bottom w:val="single" w:sz="4" w:space="0" w:color="auto"/>
              <w:right w:val="single" w:sz="4" w:space="0" w:color="auto"/>
            </w:tcBorders>
            <w:shd w:val="clear" w:color="auto" w:fill="auto"/>
            <w:vAlign w:val="bottom"/>
          </w:tcPr>
          <w:p w:rsidR="00886514" w:rsidRPr="00E75D2D" w:rsidRDefault="00886514" w:rsidP="0085256C">
            <w:pPr>
              <w:rPr>
                <w:rFonts w:cstheme="minorHAnsi"/>
                <w:color w:val="000000"/>
                <w:sz w:val="20"/>
                <w:szCs w:val="20"/>
              </w:rPr>
            </w:pPr>
            <w:r w:rsidRPr="00E75D2D">
              <w:rPr>
                <w:rFonts w:cstheme="minorHAnsi"/>
                <w:color w:val="000000"/>
                <w:sz w:val="20"/>
                <w:szCs w:val="20"/>
              </w:rPr>
              <w:t>97</w:t>
            </w:r>
          </w:p>
        </w:tc>
        <w:tc>
          <w:tcPr>
            <w:tcW w:w="1633" w:type="dxa"/>
            <w:tcBorders>
              <w:top w:val="nil"/>
              <w:left w:val="single" w:sz="4" w:space="0" w:color="auto"/>
              <w:bottom w:val="single" w:sz="4" w:space="0" w:color="auto"/>
              <w:right w:val="single" w:sz="4" w:space="0" w:color="auto"/>
            </w:tcBorders>
            <w:shd w:val="clear" w:color="000000" w:fill="FFFFFF"/>
            <w:vAlign w:val="bottom"/>
          </w:tcPr>
          <w:p w:rsidR="00886514" w:rsidRPr="00E75D2D" w:rsidRDefault="00886514" w:rsidP="0085256C">
            <w:pPr>
              <w:rPr>
                <w:rFonts w:cstheme="minorHAnsi"/>
                <w:color w:val="000000"/>
                <w:sz w:val="20"/>
                <w:szCs w:val="20"/>
              </w:rPr>
            </w:pPr>
            <w:r w:rsidRPr="00E75D2D">
              <w:rPr>
                <w:rFonts w:cstheme="minorHAnsi"/>
                <w:color w:val="000000"/>
                <w:sz w:val="20"/>
                <w:szCs w:val="20"/>
              </w:rPr>
              <w:t>Random</w:t>
            </w:r>
          </w:p>
        </w:tc>
      </w:tr>
      <w:tr w:rsidR="00886514" w:rsidTr="00BC070F">
        <w:tc>
          <w:tcPr>
            <w:tcW w:w="509" w:type="dxa"/>
            <w:shd w:val="clear" w:color="auto" w:fill="ABD9F8" w:themeFill="accent1" w:themeFillTint="66"/>
            <w:vAlign w:val="center"/>
          </w:tcPr>
          <w:p w:rsidR="00886514" w:rsidRPr="00494EAD" w:rsidRDefault="00886514" w:rsidP="0085256C">
            <w:pPr>
              <w:rPr>
                <w:rFonts w:cstheme="minorHAnsi"/>
                <w:b/>
                <w:i/>
                <w:sz w:val="20"/>
                <w:szCs w:val="20"/>
              </w:rPr>
            </w:pPr>
            <w:r w:rsidRPr="00494EAD">
              <w:rPr>
                <w:rFonts w:cstheme="minorHAnsi"/>
                <w:b/>
                <w:i/>
                <w:sz w:val="20"/>
                <w:szCs w:val="20"/>
              </w:rPr>
              <w:t>20</w:t>
            </w:r>
          </w:p>
        </w:tc>
        <w:tc>
          <w:tcPr>
            <w:tcW w:w="2856" w:type="dxa"/>
            <w:tcBorders>
              <w:top w:val="nil"/>
              <w:left w:val="single" w:sz="4" w:space="0" w:color="auto"/>
              <w:bottom w:val="single" w:sz="4" w:space="0" w:color="auto"/>
              <w:right w:val="single" w:sz="4" w:space="0" w:color="auto"/>
            </w:tcBorders>
            <w:shd w:val="clear" w:color="auto" w:fill="ABD9F8" w:themeFill="accent1" w:themeFillTint="66"/>
            <w:vAlign w:val="bottom"/>
          </w:tcPr>
          <w:p w:rsidR="00886514" w:rsidRPr="00E75D2D" w:rsidRDefault="00886514" w:rsidP="0085256C">
            <w:pPr>
              <w:rPr>
                <w:rFonts w:cstheme="minorHAnsi"/>
                <w:color w:val="000000"/>
                <w:sz w:val="20"/>
                <w:szCs w:val="20"/>
              </w:rPr>
            </w:pPr>
            <w:r w:rsidRPr="00E75D2D">
              <w:rPr>
                <w:rFonts w:cstheme="minorHAnsi"/>
                <w:color w:val="000000"/>
                <w:sz w:val="20"/>
                <w:szCs w:val="20"/>
              </w:rPr>
              <w:t>Nuclear Power</w:t>
            </w:r>
          </w:p>
        </w:tc>
        <w:tc>
          <w:tcPr>
            <w:tcW w:w="1302" w:type="dxa"/>
            <w:tcBorders>
              <w:top w:val="nil"/>
              <w:left w:val="single" w:sz="4" w:space="0" w:color="auto"/>
              <w:bottom w:val="single" w:sz="4" w:space="0" w:color="auto"/>
              <w:right w:val="single" w:sz="4" w:space="0" w:color="auto"/>
            </w:tcBorders>
            <w:shd w:val="clear" w:color="auto" w:fill="ABD9F8" w:themeFill="accent1" w:themeFillTint="66"/>
            <w:vAlign w:val="bottom"/>
          </w:tcPr>
          <w:p w:rsidR="00886514" w:rsidRPr="00E75D2D" w:rsidRDefault="00886514" w:rsidP="0085256C">
            <w:pPr>
              <w:rPr>
                <w:rFonts w:cstheme="minorHAnsi"/>
                <w:color w:val="000000"/>
                <w:sz w:val="20"/>
                <w:szCs w:val="20"/>
              </w:rPr>
            </w:pPr>
            <w:r w:rsidRPr="00E75D2D">
              <w:rPr>
                <w:rFonts w:cstheme="minorHAnsi"/>
                <w:color w:val="000000"/>
                <w:sz w:val="20"/>
                <w:szCs w:val="20"/>
              </w:rPr>
              <w:t>Citizens' Jury</w:t>
            </w:r>
          </w:p>
        </w:tc>
        <w:tc>
          <w:tcPr>
            <w:tcW w:w="2030" w:type="dxa"/>
            <w:tcBorders>
              <w:top w:val="nil"/>
              <w:left w:val="single" w:sz="4" w:space="0" w:color="auto"/>
              <w:bottom w:val="single" w:sz="4" w:space="0" w:color="auto"/>
              <w:right w:val="single" w:sz="4" w:space="0" w:color="auto"/>
            </w:tcBorders>
            <w:shd w:val="clear" w:color="auto" w:fill="ABD9F8" w:themeFill="accent1" w:themeFillTint="66"/>
            <w:vAlign w:val="bottom"/>
          </w:tcPr>
          <w:p w:rsidR="00886514" w:rsidRPr="00E75D2D" w:rsidRDefault="00886514" w:rsidP="0085256C">
            <w:pPr>
              <w:rPr>
                <w:rFonts w:cstheme="minorHAnsi"/>
                <w:color w:val="000000"/>
                <w:sz w:val="20"/>
                <w:szCs w:val="20"/>
              </w:rPr>
            </w:pPr>
            <w:r w:rsidRPr="00E75D2D">
              <w:rPr>
                <w:rFonts w:cstheme="minorHAnsi"/>
                <w:color w:val="000000"/>
                <w:sz w:val="20"/>
                <w:szCs w:val="20"/>
              </w:rPr>
              <w:t>Don't know</w:t>
            </w:r>
          </w:p>
        </w:tc>
        <w:tc>
          <w:tcPr>
            <w:tcW w:w="681" w:type="dxa"/>
            <w:tcBorders>
              <w:top w:val="nil"/>
              <w:left w:val="single" w:sz="4" w:space="0" w:color="auto"/>
              <w:bottom w:val="single" w:sz="4" w:space="0" w:color="auto"/>
              <w:right w:val="single" w:sz="4" w:space="0" w:color="auto"/>
            </w:tcBorders>
            <w:shd w:val="clear" w:color="auto" w:fill="ABD9F8" w:themeFill="accent1" w:themeFillTint="66"/>
            <w:vAlign w:val="bottom"/>
          </w:tcPr>
          <w:p w:rsidR="00886514" w:rsidRPr="00E75D2D" w:rsidRDefault="00886514" w:rsidP="0085256C">
            <w:pPr>
              <w:jc w:val="right"/>
              <w:rPr>
                <w:rFonts w:cstheme="minorHAnsi"/>
                <w:color w:val="000000"/>
                <w:sz w:val="20"/>
                <w:szCs w:val="20"/>
              </w:rPr>
            </w:pPr>
            <w:r w:rsidRPr="00E75D2D">
              <w:rPr>
                <w:rFonts w:cstheme="minorHAnsi"/>
                <w:color w:val="000000"/>
                <w:sz w:val="20"/>
                <w:szCs w:val="20"/>
              </w:rPr>
              <w:t>2006</w:t>
            </w:r>
          </w:p>
        </w:tc>
        <w:tc>
          <w:tcPr>
            <w:tcW w:w="953" w:type="dxa"/>
            <w:tcBorders>
              <w:top w:val="nil"/>
              <w:left w:val="single" w:sz="4" w:space="0" w:color="auto"/>
              <w:bottom w:val="single" w:sz="4" w:space="0" w:color="auto"/>
              <w:right w:val="single" w:sz="4" w:space="0" w:color="auto"/>
            </w:tcBorders>
            <w:shd w:val="clear" w:color="auto" w:fill="ABD9F8" w:themeFill="accent1" w:themeFillTint="66"/>
            <w:vAlign w:val="bottom"/>
          </w:tcPr>
          <w:p w:rsidR="00886514" w:rsidRPr="00E75D2D" w:rsidRDefault="00886514" w:rsidP="0085256C">
            <w:pPr>
              <w:rPr>
                <w:rFonts w:cstheme="minorHAnsi"/>
                <w:color w:val="000000"/>
                <w:sz w:val="20"/>
                <w:szCs w:val="20"/>
              </w:rPr>
            </w:pPr>
            <w:r w:rsidRPr="00E75D2D">
              <w:rPr>
                <w:rFonts w:cstheme="minorHAnsi"/>
                <w:color w:val="000000"/>
                <w:sz w:val="20"/>
                <w:szCs w:val="20"/>
              </w:rPr>
              <w:t>Don't know</w:t>
            </w:r>
          </w:p>
        </w:tc>
        <w:tc>
          <w:tcPr>
            <w:tcW w:w="1235" w:type="dxa"/>
            <w:tcBorders>
              <w:top w:val="nil"/>
              <w:left w:val="single" w:sz="4" w:space="0" w:color="auto"/>
              <w:bottom w:val="single" w:sz="4" w:space="0" w:color="auto"/>
              <w:right w:val="single" w:sz="4" w:space="0" w:color="auto"/>
            </w:tcBorders>
            <w:shd w:val="clear" w:color="auto" w:fill="ABD9F8" w:themeFill="accent1" w:themeFillTint="66"/>
            <w:vAlign w:val="bottom"/>
          </w:tcPr>
          <w:p w:rsidR="00886514" w:rsidRPr="00E75D2D" w:rsidRDefault="00886514" w:rsidP="0085256C">
            <w:pPr>
              <w:rPr>
                <w:rFonts w:cstheme="minorHAnsi"/>
                <w:color w:val="000000"/>
                <w:sz w:val="20"/>
                <w:szCs w:val="20"/>
              </w:rPr>
            </w:pPr>
            <w:r w:rsidRPr="00E75D2D">
              <w:rPr>
                <w:rFonts w:cstheme="minorHAnsi"/>
                <w:color w:val="000000"/>
                <w:sz w:val="20"/>
                <w:szCs w:val="20"/>
              </w:rPr>
              <w:t>90</w:t>
            </w:r>
          </w:p>
        </w:tc>
        <w:tc>
          <w:tcPr>
            <w:tcW w:w="1633" w:type="dxa"/>
            <w:tcBorders>
              <w:top w:val="nil"/>
              <w:left w:val="single" w:sz="4" w:space="0" w:color="auto"/>
              <w:bottom w:val="single" w:sz="4" w:space="0" w:color="auto"/>
              <w:right w:val="single" w:sz="4" w:space="0" w:color="auto"/>
            </w:tcBorders>
            <w:shd w:val="clear" w:color="auto" w:fill="ABD9F8" w:themeFill="accent1" w:themeFillTint="66"/>
            <w:vAlign w:val="bottom"/>
          </w:tcPr>
          <w:p w:rsidR="00886514" w:rsidRPr="00E75D2D" w:rsidRDefault="00886514" w:rsidP="0085256C">
            <w:pPr>
              <w:rPr>
                <w:rFonts w:cstheme="minorHAnsi"/>
                <w:color w:val="000000"/>
                <w:sz w:val="20"/>
                <w:szCs w:val="20"/>
              </w:rPr>
            </w:pPr>
            <w:r w:rsidRPr="00E75D2D">
              <w:rPr>
                <w:rFonts w:cstheme="minorHAnsi"/>
                <w:color w:val="000000"/>
                <w:sz w:val="20"/>
                <w:szCs w:val="20"/>
              </w:rPr>
              <w:t>Don't know</w:t>
            </w:r>
          </w:p>
        </w:tc>
      </w:tr>
      <w:tr w:rsidR="00886514" w:rsidTr="0085256C">
        <w:tc>
          <w:tcPr>
            <w:tcW w:w="509" w:type="dxa"/>
            <w:vAlign w:val="center"/>
          </w:tcPr>
          <w:p w:rsidR="00886514" w:rsidRPr="00494EAD" w:rsidRDefault="00886514" w:rsidP="0085256C">
            <w:pPr>
              <w:rPr>
                <w:rFonts w:cstheme="minorHAnsi"/>
                <w:b/>
                <w:i/>
                <w:sz w:val="20"/>
                <w:szCs w:val="20"/>
              </w:rPr>
            </w:pPr>
            <w:r w:rsidRPr="00494EAD">
              <w:rPr>
                <w:rFonts w:cstheme="minorHAnsi"/>
                <w:b/>
                <w:i/>
                <w:sz w:val="20"/>
                <w:szCs w:val="20"/>
              </w:rPr>
              <w:t>21</w:t>
            </w:r>
          </w:p>
        </w:tc>
        <w:tc>
          <w:tcPr>
            <w:tcW w:w="2856" w:type="dxa"/>
            <w:tcBorders>
              <w:top w:val="nil"/>
              <w:left w:val="single" w:sz="4" w:space="0" w:color="auto"/>
              <w:bottom w:val="single" w:sz="4" w:space="0" w:color="auto"/>
              <w:right w:val="single" w:sz="4" w:space="0" w:color="auto"/>
            </w:tcBorders>
            <w:shd w:val="clear" w:color="000000" w:fill="FFFFFF"/>
            <w:vAlign w:val="bottom"/>
          </w:tcPr>
          <w:p w:rsidR="00886514" w:rsidRPr="00E75D2D" w:rsidRDefault="00886514" w:rsidP="0085256C">
            <w:pPr>
              <w:rPr>
                <w:rFonts w:cstheme="minorHAnsi"/>
                <w:color w:val="000000"/>
                <w:sz w:val="20"/>
                <w:szCs w:val="20"/>
              </w:rPr>
            </w:pPr>
            <w:r w:rsidRPr="00E75D2D">
              <w:rPr>
                <w:rFonts w:cstheme="minorHAnsi"/>
                <w:color w:val="000000"/>
                <w:sz w:val="20"/>
                <w:szCs w:val="20"/>
              </w:rPr>
              <w:t>Immigration</w:t>
            </w:r>
          </w:p>
        </w:tc>
        <w:tc>
          <w:tcPr>
            <w:tcW w:w="1302" w:type="dxa"/>
            <w:tcBorders>
              <w:top w:val="nil"/>
              <w:left w:val="single" w:sz="4" w:space="0" w:color="auto"/>
              <w:bottom w:val="single" w:sz="4" w:space="0" w:color="auto"/>
              <w:right w:val="single" w:sz="4" w:space="0" w:color="auto"/>
            </w:tcBorders>
            <w:shd w:val="clear" w:color="000000" w:fill="FFFFFF"/>
            <w:vAlign w:val="bottom"/>
          </w:tcPr>
          <w:p w:rsidR="00886514" w:rsidRPr="00E75D2D" w:rsidRDefault="00886514" w:rsidP="0085256C">
            <w:pPr>
              <w:rPr>
                <w:rFonts w:cstheme="minorHAnsi"/>
                <w:color w:val="000000"/>
                <w:sz w:val="20"/>
                <w:szCs w:val="20"/>
              </w:rPr>
            </w:pPr>
            <w:r w:rsidRPr="00E75D2D">
              <w:rPr>
                <w:rFonts w:cstheme="minorHAnsi"/>
                <w:color w:val="000000"/>
                <w:sz w:val="20"/>
                <w:szCs w:val="20"/>
              </w:rPr>
              <w:t>Deliberative Poll</w:t>
            </w:r>
          </w:p>
        </w:tc>
        <w:tc>
          <w:tcPr>
            <w:tcW w:w="2030" w:type="dxa"/>
            <w:tcBorders>
              <w:top w:val="nil"/>
              <w:left w:val="single" w:sz="4" w:space="0" w:color="auto"/>
              <w:bottom w:val="single" w:sz="4" w:space="0" w:color="auto"/>
              <w:right w:val="single" w:sz="4" w:space="0" w:color="auto"/>
            </w:tcBorders>
            <w:shd w:val="clear" w:color="000000" w:fill="FFFFFF"/>
            <w:vAlign w:val="bottom"/>
          </w:tcPr>
          <w:p w:rsidR="00886514" w:rsidRPr="00E75D2D" w:rsidRDefault="00886514" w:rsidP="0085256C">
            <w:pPr>
              <w:rPr>
                <w:rFonts w:cstheme="minorHAnsi"/>
                <w:color w:val="000000"/>
                <w:sz w:val="20"/>
                <w:szCs w:val="20"/>
              </w:rPr>
            </w:pPr>
            <w:r w:rsidRPr="00E75D2D">
              <w:rPr>
                <w:rFonts w:cstheme="minorHAnsi"/>
                <w:color w:val="000000"/>
                <w:sz w:val="20"/>
                <w:szCs w:val="20"/>
              </w:rPr>
              <w:t>Turku</w:t>
            </w:r>
          </w:p>
        </w:tc>
        <w:tc>
          <w:tcPr>
            <w:tcW w:w="681" w:type="dxa"/>
            <w:tcBorders>
              <w:top w:val="nil"/>
              <w:left w:val="single" w:sz="4" w:space="0" w:color="auto"/>
              <w:bottom w:val="single" w:sz="4" w:space="0" w:color="auto"/>
              <w:right w:val="single" w:sz="4" w:space="0" w:color="auto"/>
            </w:tcBorders>
            <w:shd w:val="clear" w:color="000000" w:fill="FFFFFF"/>
            <w:vAlign w:val="bottom"/>
          </w:tcPr>
          <w:p w:rsidR="00886514" w:rsidRPr="00E75D2D" w:rsidRDefault="00886514" w:rsidP="0085256C">
            <w:pPr>
              <w:jc w:val="right"/>
              <w:rPr>
                <w:rFonts w:cstheme="minorHAnsi"/>
                <w:color w:val="000000"/>
                <w:sz w:val="20"/>
                <w:szCs w:val="20"/>
              </w:rPr>
            </w:pPr>
            <w:r w:rsidRPr="00E75D2D">
              <w:rPr>
                <w:rFonts w:cstheme="minorHAnsi"/>
                <w:color w:val="000000"/>
                <w:sz w:val="20"/>
                <w:szCs w:val="20"/>
              </w:rPr>
              <w:t>2012</w:t>
            </w:r>
          </w:p>
        </w:tc>
        <w:tc>
          <w:tcPr>
            <w:tcW w:w="953" w:type="dxa"/>
            <w:tcBorders>
              <w:top w:val="nil"/>
              <w:left w:val="single" w:sz="4" w:space="0" w:color="auto"/>
              <w:bottom w:val="single" w:sz="4" w:space="0" w:color="auto"/>
              <w:right w:val="single" w:sz="4" w:space="0" w:color="auto"/>
            </w:tcBorders>
            <w:shd w:val="clear" w:color="auto" w:fill="auto"/>
            <w:vAlign w:val="bottom"/>
          </w:tcPr>
          <w:p w:rsidR="00886514" w:rsidRPr="00E75D2D" w:rsidRDefault="00886514" w:rsidP="0085256C">
            <w:pPr>
              <w:rPr>
                <w:rFonts w:cstheme="minorHAnsi"/>
                <w:color w:val="000000"/>
                <w:sz w:val="20"/>
                <w:szCs w:val="20"/>
              </w:rPr>
            </w:pPr>
            <w:r w:rsidRPr="00E75D2D">
              <w:rPr>
                <w:rFonts w:cstheme="minorHAnsi"/>
                <w:color w:val="000000"/>
                <w:sz w:val="20"/>
                <w:szCs w:val="20"/>
              </w:rPr>
              <w:t>Don't know</w:t>
            </w:r>
          </w:p>
        </w:tc>
        <w:tc>
          <w:tcPr>
            <w:tcW w:w="1235" w:type="dxa"/>
            <w:tcBorders>
              <w:top w:val="nil"/>
              <w:left w:val="single" w:sz="4" w:space="0" w:color="auto"/>
              <w:bottom w:val="single" w:sz="4" w:space="0" w:color="auto"/>
              <w:right w:val="single" w:sz="4" w:space="0" w:color="auto"/>
            </w:tcBorders>
            <w:shd w:val="clear" w:color="auto" w:fill="auto"/>
            <w:vAlign w:val="bottom"/>
          </w:tcPr>
          <w:p w:rsidR="00886514" w:rsidRPr="00E75D2D" w:rsidRDefault="00886514" w:rsidP="0085256C">
            <w:pPr>
              <w:rPr>
                <w:rFonts w:cstheme="minorHAnsi"/>
                <w:color w:val="000000"/>
                <w:sz w:val="20"/>
                <w:szCs w:val="20"/>
              </w:rPr>
            </w:pPr>
            <w:r w:rsidRPr="00E75D2D">
              <w:rPr>
                <w:rFonts w:cstheme="minorHAnsi"/>
                <w:color w:val="000000"/>
                <w:sz w:val="20"/>
                <w:szCs w:val="20"/>
              </w:rPr>
              <w:t>207</w:t>
            </w:r>
          </w:p>
        </w:tc>
        <w:tc>
          <w:tcPr>
            <w:tcW w:w="1633" w:type="dxa"/>
            <w:tcBorders>
              <w:top w:val="nil"/>
              <w:left w:val="single" w:sz="4" w:space="0" w:color="auto"/>
              <w:bottom w:val="single" w:sz="4" w:space="0" w:color="auto"/>
              <w:right w:val="single" w:sz="4" w:space="0" w:color="auto"/>
            </w:tcBorders>
            <w:shd w:val="clear" w:color="000000" w:fill="FFFFFF"/>
            <w:vAlign w:val="bottom"/>
          </w:tcPr>
          <w:p w:rsidR="00886514" w:rsidRPr="00E75D2D" w:rsidRDefault="00886514" w:rsidP="0085256C">
            <w:pPr>
              <w:rPr>
                <w:rFonts w:cstheme="minorHAnsi"/>
                <w:color w:val="000000"/>
                <w:sz w:val="20"/>
                <w:szCs w:val="20"/>
              </w:rPr>
            </w:pPr>
            <w:r w:rsidRPr="00E75D2D">
              <w:rPr>
                <w:rFonts w:cstheme="minorHAnsi"/>
                <w:color w:val="000000"/>
                <w:sz w:val="20"/>
                <w:szCs w:val="20"/>
              </w:rPr>
              <w:t>Probability sampling</w:t>
            </w:r>
          </w:p>
        </w:tc>
      </w:tr>
      <w:tr w:rsidR="00886514" w:rsidTr="00BC070F">
        <w:tc>
          <w:tcPr>
            <w:tcW w:w="509" w:type="dxa"/>
            <w:shd w:val="clear" w:color="auto" w:fill="ABD9F8" w:themeFill="accent1" w:themeFillTint="66"/>
            <w:vAlign w:val="center"/>
          </w:tcPr>
          <w:p w:rsidR="00886514" w:rsidRPr="00494EAD" w:rsidRDefault="00886514" w:rsidP="0085256C">
            <w:pPr>
              <w:rPr>
                <w:rFonts w:cstheme="minorHAnsi"/>
                <w:b/>
                <w:i/>
                <w:sz w:val="20"/>
                <w:szCs w:val="20"/>
              </w:rPr>
            </w:pPr>
            <w:r w:rsidRPr="00494EAD">
              <w:rPr>
                <w:rFonts w:cstheme="minorHAnsi"/>
                <w:b/>
                <w:i/>
                <w:sz w:val="20"/>
                <w:szCs w:val="20"/>
              </w:rPr>
              <w:t>22</w:t>
            </w:r>
          </w:p>
        </w:tc>
        <w:tc>
          <w:tcPr>
            <w:tcW w:w="2856" w:type="dxa"/>
            <w:tcBorders>
              <w:top w:val="nil"/>
              <w:left w:val="single" w:sz="4" w:space="0" w:color="auto"/>
              <w:bottom w:val="single" w:sz="4" w:space="0" w:color="auto"/>
              <w:right w:val="single" w:sz="4" w:space="0" w:color="auto"/>
            </w:tcBorders>
            <w:shd w:val="clear" w:color="auto" w:fill="ABD9F8" w:themeFill="accent1" w:themeFillTint="66"/>
            <w:vAlign w:val="bottom"/>
          </w:tcPr>
          <w:p w:rsidR="00886514" w:rsidRPr="00E75D2D" w:rsidRDefault="00886514" w:rsidP="0085256C">
            <w:pPr>
              <w:rPr>
                <w:rFonts w:cstheme="minorHAnsi"/>
                <w:color w:val="000000"/>
                <w:sz w:val="20"/>
                <w:szCs w:val="20"/>
              </w:rPr>
            </w:pPr>
            <w:r w:rsidRPr="00E75D2D">
              <w:rPr>
                <w:rFonts w:cstheme="minorHAnsi"/>
                <w:color w:val="000000"/>
                <w:sz w:val="20"/>
                <w:szCs w:val="20"/>
              </w:rPr>
              <w:t>Dialogue Day</w:t>
            </w:r>
          </w:p>
        </w:tc>
        <w:tc>
          <w:tcPr>
            <w:tcW w:w="1302" w:type="dxa"/>
            <w:tcBorders>
              <w:top w:val="nil"/>
              <w:left w:val="single" w:sz="4" w:space="0" w:color="auto"/>
              <w:bottom w:val="single" w:sz="4" w:space="0" w:color="auto"/>
              <w:right w:val="single" w:sz="4" w:space="0" w:color="auto"/>
            </w:tcBorders>
            <w:shd w:val="clear" w:color="auto" w:fill="ABD9F8" w:themeFill="accent1" w:themeFillTint="66"/>
            <w:vAlign w:val="bottom"/>
          </w:tcPr>
          <w:p w:rsidR="00886514" w:rsidRPr="00E75D2D" w:rsidRDefault="00886514" w:rsidP="0085256C">
            <w:pPr>
              <w:rPr>
                <w:rFonts w:cstheme="minorHAnsi"/>
                <w:color w:val="000000"/>
                <w:sz w:val="20"/>
                <w:szCs w:val="20"/>
              </w:rPr>
            </w:pPr>
            <w:r w:rsidRPr="00E75D2D">
              <w:rPr>
                <w:rFonts w:cstheme="minorHAnsi"/>
                <w:color w:val="000000"/>
                <w:sz w:val="20"/>
                <w:szCs w:val="20"/>
              </w:rPr>
              <w:t>Citizens' Jury</w:t>
            </w:r>
          </w:p>
        </w:tc>
        <w:tc>
          <w:tcPr>
            <w:tcW w:w="2030" w:type="dxa"/>
            <w:tcBorders>
              <w:top w:val="nil"/>
              <w:left w:val="single" w:sz="4" w:space="0" w:color="auto"/>
              <w:bottom w:val="single" w:sz="4" w:space="0" w:color="auto"/>
              <w:right w:val="single" w:sz="4" w:space="0" w:color="auto"/>
            </w:tcBorders>
            <w:shd w:val="clear" w:color="auto" w:fill="ABD9F8" w:themeFill="accent1" w:themeFillTint="66"/>
            <w:vAlign w:val="bottom"/>
          </w:tcPr>
          <w:p w:rsidR="00886514" w:rsidRPr="00E75D2D" w:rsidRDefault="00886514" w:rsidP="0085256C">
            <w:pPr>
              <w:rPr>
                <w:rFonts w:cstheme="minorHAnsi"/>
                <w:color w:val="000000"/>
                <w:sz w:val="20"/>
                <w:szCs w:val="20"/>
              </w:rPr>
            </w:pPr>
            <w:r w:rsidRPr="00E75D2D">
              <w:rPr>
                <w:rFonts w:cstheme="minorHAnsi"/>
                <w:color w:val="000000"/>
                <w:sz w:val="20"/>
                <w:szCs w:val="20"/>
              </w:rPr>
              <w:t>Vaasa</w:t>
            </w:r>
          </w:p>
        </w:tc>
        <w:tc>
          <w:tcPr>
            <w:tcW w:w="681" w:type="dxa"/>
            <w:tcBorders>
              <w:top w:val="nil"/>
              <w:left w:val="single" w:sz="4" w:space="0" w:color="auto"/>
              <w:bottom w:val="single" w:sz="4" w:space="0" w:color="auto"/>
              <w:right w:val="single" w:sz="4" w:space="0" w:color="auto"/>
            </w:tcBorders>
            <w:shd w:val="clear" w:color="auto" w:fill="ABD9F8" w:themeFill="accent1" w:themeFillTint="66"/>
            <w:vAlign w:val="bottom"/>
          </w:tcPr>
          <w:p w:rsidR="00886514" w:rsidRPr="00E75D2D" w:rsidRDefault="00886514" w:rsidP="0085256C">
            <w:pPr>
              <w:jc w:val="right"/>
              <w:rPr>
                <w:rFonts w:cstheme="minorHAnsi"/>
                <w:color w:val="000000"/>
                <w:sz w:val="20"/>
                <w:szCs w:val="20"/>
              </w:rPr>
            </w:pPr>
            <w:r w:rsidRPr="00E75D2D">
              <w:rPr>
                <w:rFonts w:cstheme="minorHAnsi"/>
                <w:color w:val="000000"/>
                <w:sz w:val="20"/>
                <w:szCs w:val="20"/>
              </w:rPr>
              <w:t>2008</w:t>
            </w:r>
          </w:p>
        </w:tc>
        <w:tc>
          <w:tcPr>
            <w:tcW w:w="953" w:type="dxa"/>
            <w:tcBorders>
              <w:top w:val="nil"/>
              <w:left w:val="single" w:sz="4" w:space="0" w:color="auto"/>
              <w:bottom w:val="single" w:sz="4" w:space="0" w:color="auto"/>
              <w:right w:val="single" w:sz="4" w:space="0" w:color="auto"/>
            </w:tcBorders>
            <w:shd w:val="clear" w:color="auto" w:fill="ABD9F8" w:themeFill="accent1" w:themeFillTint="66"/>
            <w:vAlign w:val="bottom"/>
          </w:tcPr>
          <w:p w:rsidR="00886514" w:rsidRPr="00E75D2D" w:rsidRDefault="00886514" w:rsidP="0085256C">
            <w:pPr>
              <w:rPr>
                <w:rFonts w:cstheme="minorHAnsi"/>
                <w:color w:val="000000"/>
                <w:sz w:val="20"/>
                <w:szCs w:val="20"/>
              </w:rPr>
            </w:pPr>
            <w:r w:rsidRPr="00E75D2D">
              <w:rPr>
                <w:rFonts w:cstheme="minorHAnsi"/>
                <w:color w:val="000000"/>
                <w:sz w:val="20"/>
                <w:szCs w:val="20"/>
              </w:rPr>
              <w:t>Don't know</w:t>
            </w:r>
          </w:p>
        </w:tc>
        <w:tc>
          <w:tcPr>
            <w:tcW w:w="1235" w:type="dxa"/>
            <w:tcBorders>
              <w:top w:val="nil"/>
              <w:left w:val="single" w:sz="4" w:space="0" w:color="auto"/>
              <w:bottom w:val="single" w:sz="4" w:space="0" w:color="auto"/>
              <w:right w:val="single" w:sz="4" w:space="0" w:color="auto"/>
            </w:tcBorders>
            <w:shd w:val="clear" w:color="auto" w:fill="ABD9F8" w:themeFill="accent1" w:themeFillTint="66"/>
            <w:vAlign w:val="bottom"/>
          </w:tcPr>
          <w:p w:rsidR="00886514" w:rsidRPr="00E75D2D" w:rsidRDefault="00886514" w:rsidP="0085256C">
            <w:pPr>
              <w:rPr>
                <w:rFonts w:cstheme="minorHAnsi"/>
                <w:color w:val="000000"/>
                <w:sz w:val="20"/>
                <w:szCs w:val="20"/>
              </w:rPr>
            </w:pPr>
            <w:r w:rsidRPr="00E75D2D">
              <w:rPr>
                <w:rFonts w:cstheme="minorHAnsi"/>
                <w:color w:val="000000"/>
                <w:sz w:val="20"/>
                <w:szCs w:val="20"/>
              </w:rPr>
              <w:t>302</w:t>
            </w:r>
          </w:p>
        </w:tc>
        <w:tc>
          <w:tcPr>
            <w:tcW w:w="1633" w:type="dxa"/>
            <w:tcBorders>
              <w:top w:val="nil"/>
              <w:left w:val="single" w:sz="4" w:space="0" w:color="auto"/>
              <w:bottom w:val="single" w:sz="4" w:space="0" w:color="auto"/>
              <w:right w:val="single" w:sz="4" w:space="0" w:color="auto"/>
            </w:tcBorders>
            <w:shd w:val="clear" w:color="auto" w:fill="ABD9F8" w:themeFill="accent1" w:themeFillTint="66"/>
            <w:vAlign w:val="bottom"/>
          </w:tcPr>
          <w:p w:rsidR="00886514" w:rsidRPr="00E75D2D" w:rsidRDefault="00886514" w:rsidP="0085256C">
            <w:pPr>
              <w:rPr>
                <w:rFonts w:cstheme="minorHAnsi"/>
                <w:color w:val="000000"/>
                <w:sz w:val="20"/>
                <w:szCs w:val="20"/>
              </w:rPr>
            </w:pPr>
            <w:r w:rsidRPr="00E75D2D">
              <w:rPr>
                <w:rFonts w:cstheme="minorHAnsi"/>
                <w:color w:val="000000"/>
                <w:sz w:val="20"/>
                <w:szCs w:val="20"/>
              </w:rPr>
              <w:t>Don't know</w:t>
            </w:r>
          </w:p>
        </w:tc>
      </w:tr>
      <w:tr w:rsidR="00886514" w:rsidTr="0085256C">
        <w:tc>
          <w:tcPr>
            <w:tcW w:w="509" w:type="dxa"/>
            <w:vAlign w:val="center"/>
          </w:tcPr>
          <w:p w:rsidR="00886514" w:rsidRPr="00494EAD" w:rsidRDefault="00886514" w:rsidP="0085256C">
            <w:pPr>
              <w:rPr>
                <w:rFonts w:cstheme="minorHAnsi"/>
                <w:b/>
                <w:i/>
                <w:sz w:val="20"/>
                <w:szCs w:val="20"/>
              </w:rPr>
            </w:pPr>
            <w:r w:rsidRPr="00494EAD">
              <w:rPr>
                <w:rFonts w:cstheme="minorHAnsi"/>
                <w:b/>
                <w:i/>
                <w:sz w:val="20"/>
                <w:szCs w:val="20"/>
              </w:rPr>
              <w:t>23</w:t>
            </w:r>
          </w:p>
        </w:tc>
        <w:tc>
          <w:tcPr>
            <w:tcW w:w="2856" w:type="dxa"/>
            <w:tcBorders>
              <w:top w:val="nil"/>
              <w:left w:val="single" w:sz="4" w:space="0" w:color="auto"/>
              <w:bottom w:val="single" w:sz="4" w:space="0" w:color="auto"/>
              <w:right w:val="single" w:sz="4" w:space="0" w:color="auto"/>
            </w:tcBorders>
            <w:shd w:val="clear" w:color="000000" w:fill="FFFFFF"/>
            <w:vAlign w:val="bottom"/>
          </w:tcPr>
          <w:p w:rsidR="00886514" w:rsidRPr="00E75D2D" w:rsidRDefault="00886514" w:rsidP="0085256C">
            <w:pPr>
              <w:rPr>
                <w:rFonts w:cstheme="minorHAnsi"/>
                <w:color w:val="000000"/>
                <w:sz w:val="20"/>
                <w:szCs w:val="20"/>
              </w:rPr>
            </w:pPr>
            <w:r w:rsidRPr="00E75D2D">
              <w:rPr>
                <w:rFonts w:cstheme="minorHAnsi"/>
                <w:color w:val="000000"/>
                <w:sz w:val="20"/>
                <w:szCs w:val="20"/>
              </w:rPr>
              <w:t>Immigration attitudes</w:t>
            </w:r>
          </w:p>
        </w:tc>
        <w:tc>
          <w:tcPr>
            <w:tcW w:w="1302" w:type="dxa"/>
            <w:tcBorders>
              <w:top w:val="nil"/>
              <w:left w:val="single" w:sz="4" w:space="0" w:color="auto"/>
              <w:bottom w:val="single" w:sz="4" w:space="0" w:color="auto"/>
              <w:right w:val="single" w:sz="4" w:space="0" w:color="auto"/>
            </w:tcBorders>
            <w:shd w:val="clear" w:color="000000" w:fill="FFFFFF"/>
            <w:vAlign w:val="bottom"/>
          </w:tcPr>
          <w:p w:rsidR="00886514" w:rsidRPr="00E75D2D" w:rsidRDefault="00886514" w:rsidP="0085256C">
            <w:pPr>
              <w:rPr>
                <w:rFonts w:cstheme="minorHAnsi"/>
                <w:color w:val="000000"/>
                <w:sz w:val="20"/>
                <w:szCs w:val="20"/>
              </w:rPr>
            </w:pPr>
            <w:r w:rsidRPr="00E75D2D">
              <w:rPr>
                <w:rFonts w:cstheme="minorHAnsi"/>
                <w:color w:val="000000"/>
                <w:sz w:val="20"/>
                <w:szCs w:val="20"/>
              </w:rPr>
              <w:t>Citizens' Assembly</w:t>
            </w:r>
          </w:p>
        </w:tc>
        <w:tc>
          <w:tcPr>
            <w:tcW w:w="2030" w:type="dxa"/>
            <w:tcBorders>
              <w:top w:val="nil"/>
              <w:left w:val="single" w:sz="4" w:space="0" w:color="auto"/>
              <w:bottom w:val="single" w:sz="4" w:space="0" w:color="auto"/>
              <w:right w:val="single" w:sz="4" w:space="0" w:color="auto"/>
            </w:tcBorders>
            <w:shd w:val="clear" w:color="000000" w:fill="FFFFFF"/>
            <w:vAlign w:val="bottom"/>
          </w:tcPr>
          <w:p w:rsidR="00886514" w:rsidRPr="00E75D2D" w:rsidRDefault="00886514" w:rsidP="0085256C">
            <w:pPr>
              <w:rPr>
                <w:rFonts w:cstheme="minorHAnsi"/>
                <w:color w:val="000000"/>
                <w:sz w:val="20"/>
                <w:szCs w:val="20"/>
              </w:rPr>
            </w:pPr>
            <w:r w:rsidRPr="00E75D2D">
              <w:rPr>
                <w:rFonts w:cstheme="minorHAnsi"/>
                <w:color w:val="000000"/>
                <w:sz w:val="20"/>
                <w:szCs w:val="20"/>
              </w:rPr>
              <w:t>Finland</w:t>
            </w:r>
          </w:p>
        </w:tc>
        <w:tc>
          <w:tcPr>
            <w:tcW w:w="681" w:type="dxa"/>
            <w:tcBorders>
              <w:top w:val="nil"/>
              <w:left w:val="single" w:sz="4" w:space="0" w:color="auto"/>
              <w:bottom w:val="single" w:sz="4" w:space="0" w:color="auto"/>
              <w:right w:val="single" w:sz="4" w:space="0" w:color="auto"/>
            </w:tcBorders>
            <w:shd w:val="clear" w:color="000000" w:fill="FFFFFF"/>
            <w:vAlign w:val="bottom"/>
          </w:tcPr>
          <w:p w:rsidR="00886514" w:rsidRPr="00E75D2D" w:rsidRDefault="00886514" w:rsidP="0085256C">
            <w:pPr>
              <w:jc w:val="right"/>
              <w:rPr>
                <w:rFonts w:cstheme="minorHAnsi"/>
                <w:color w:val="000000"/>
                <w:sz w:val="20"/>
                <w:szCs w:val="20"/>
              </w:rPr>
            </w:pPr>
            <w:r w:rsidRPr="00E75D2D">
              <w:rPr>
                <w:rFonts w:cstheme="minorHAnsi"/>
                <w:color w:val="000000"/>
                <w:sz w:val="20"/>
                <w:szCs w:val="20"/>
              </w:rPr>
              <w:t>2012</w:t>
            </w:r>
          </w:p>
        </w:tc>
        <w:tc>
          <w:tcPr>
            <w:tcW w:w="953" w:type="dxa"/>
            <w:tcBorders>
              <w:top w:val="nil"/>
              <w:left w:val="single" w:sz="4" w:space="0" w:color="auto"/>
              <w:bottom w:val="single" w:sz="4" w:space="0" w:color="auto"/>
              <w:right w:val="single" w:sz="4" w:space="0" w:color="auto"/>
            </w:tcBorders>
            <w:shd w:val="clear" w:color="000000" w:fill="FFFFFF"/>
            <w:vAlign w:val="bottom"/>
          </w:tcPr>
          <w:p w:rsidR="00886514" w:rsidRPr="00E75D2D" w:rsidRDefault="00886514" w:rsidP="0085256C">
            <w:pPr>
              <w:rPr>
                <w:rFonts w:cstheme="minorHAnsi"/>
                <w:color w:val="000000"/>
                <w:sz w:val="20"/>
                <w:szCs w:val="20"/>
              </w:rPr>
            </w:pPr>
            <w:r w:rsidRPr="00E75D2D">
              <w:rPr>
                <w:rFonts w:cstheme="minorHAnsi"/>
                <w:color w:val="000000"/>
                <w:sz w:val="20"/>
                <w:szCs w:val="20"/>
              </w:rPr>
              <w:t>Don't know</w:t>
            </w:r>
          </w:p>
        </w:tc>
        <w:tc>
          <w:tcPr>
            <w:tcW w:w="1235" w:type="dxa"/>
            <w:tcBorders>
              <w:top w:val="nil"/>
              <w:left w:val="single" w:sz="4" w:space="0" w:color="auto"/>
              <w:bottom w:val="single" w:sz="4" w:space="0" w:color="auto"/>
              <w:right w:val="single" w:sz="4" w:space="0" w:color="auto"/>
            </w:tcBorders>
            <w:shd w:val="clear" w:color="000000" w:fill="FFFFFF"/>
            <w:vAlign w:val="bottom"/>
          </w:tcPr>
          <w:p w:rsidR="00886514" w:rsidRPr="00E75D2D" w:rsidRDefault="00886514" w:rsidP="0085256C">
            <w:pPr>
              <w:rPr>
                <w:rFonts w:cstheme="minorHAnsi"/>
                <w:color w:val="000000"/>
                <w:sz w:val="20"/>
                <w:szCs w:val="20"/>
              </w:rPr>
            </w:pPr>
            <w:r w:rsidRPr="00E75D2D">
              <w:rPr>
                <w:rFonts w:cstheme="minorHAnsi"/>
                <w:color w:val="000000"/>
                <w:sz w:val="20"/>
                <w:szCs w:val="20"/>
              </w:rPr>
              <w:t>Don't know</w:t>
            </w:r>
          </w:p>
        </w:tc>
        <w:tc>
          <w:tcPr>
            <w:tcW w:w="1633" w:type="dxa"/>
            <w:tcBorders>
              <w:top w:val="nil"/>
              <w:left w:val="single" w:sz="4" w:space="0" w:color="auto"/>
              <w:bottom w:val="single" w:sz="4" w:space="0" w:color="auto"/>
              <w:right w:val="single" w:sz="4" w:space="0" w:color="auto"/>
            </w:tcBorders>
            <w:shd w:val="clear" w:color="auto" w:fill="auto"/>
            <w:vAlign w:val="bottom"/>
          </w:tcPr>
          <w:p w:rsidR="00886514" w:rsidRPr="00E75D2D" w:rsidRDefault="00886514" w:rsidP="0085256C">
            <w:pPr>
              <w:rPr>
                <w:rFonts w:cstheme="minorHAnsi"/>
                <w:color w:val="000000"/>
                <w:sz w:val="20"/>
                <w:szCs w:val="20"/>
              </w:rPr>
            </w:pPr>
            <w:r w:rsidRPr="00E75D2D">
              <w:rPr>
                <w:rFonts w:cstheme="minorHAnsi"/>
                <w:color w:val="000000"/>
                <w:sz w:val="20"/>
                <w:szCs w:val="20"/>
              </w:rPr>
              <w:t>Don't know</w:t>
            </w:r>
          </w:p>
        </w:tc>
      </w:tr>
    </w:tbl>
    <w:p w:rsidR="00886514" w:rsidRDefault="00886514" w:rsidP="00845E3C">
      <w:pPr>
        <w:jc w:val="both"/>
        <w:rPr>
          <w:b/>
          <w:color w:val="0B5484" w:themeColor="accent1" w:themeShade="80"/>
          <w:sz w:val="24"/>
          <w:szCs w:val="24"/>
        </w:rPr>
      </w:pPr>
    </w:p>
    <w:p w:rsidR="00AF399C" w:rsidRPr="00D943A4" w:rsidRDefault="00AF399C" w:rsidP="00AF399C">
      <w:pPr>
        <w:numPr>
          <w:ilvl w:val="0"/>
          <w:numId w:val="10"/>
        </w:numPr>
        <w:jc w:val="both"/>
        <w:rPr>
          <w:b/>
          <w:i/>
          <w:color w:val="0B5484" w:themeColor="accent1" w:themeShade="80"/>
          <w:sz w:val="24"/>
          <w:szCs w:val="24"/>
        </w:rPr>
      </w:pPr>
      <w:r w:rsidRPr="00D943A4">
        <w:rPr>
          <w:b/>
          <w:i/>
          <w:color w:val="0B5484" w:themeColor="accent1" w:themeShade="80"/>
          <w:sz w:val="24"/>
          <w:szCs w:val="24"/>
        </w:rPr>
        <w:t xml:space="preserve">Are there any trends across the cases in each country that suggest the organisational features of the mini-public influence citizens’ engagement with evidence? </w:t>
      </w:r>
    </w:p>
    <w:p w:rsidR="00AF399C" w:rsidRPr="00AF399C" w:rsidRDefault="00D943A4" w:rsidP="00AF399C">
      <w:pPr>
        <w:jc w:val="both"/>
        <w:rPr>
          <w:sz w:val="24"/>
          <w:szCs w:val="24"/>
        </w:rPr>
      </w:pPr>
      <w:r>
        <w:rPr>
          <w:sz w:val="24"/>
          <w:szCs w:val="24"/>
        </w:rPr>
        <w:t>Of</w:t>
      </w:r>
      <w:r w:rsidR="00AF399C" w:rsidRPr="00AF399C">
        <w:rPr>
          <w:sz w:val="24"/>
          <w:szCs w:val="24"/>
        </w:rPr>
        <w:t xml:space="preserve"> the mini-publics reported on in Finland there is not enough evidence to indicate a trend in the engagement of citizens with evidence. There were several examples of Citizens’ Assemblies, Citizens’ Juries, and a Deliberative Poll, on ‘non-social policy’ issues. These mini-publics showed a trend to focus on topics that could be considered as controversial, such as nuclear power, immigration, and euthanasia. Although some of the identified cases were within the wider policy theme of health, none were social policy, meaning any links between mini-public type and social policy impacts, or between witness experts and social policy impact are not possible to determine. </w:t>
      </w:r>
    </w:p>
    <w:p w:rsidR="00AF399C" w:rsidRDefault="00AF399C" w:rsidP="00AF399C">
      <w:pPr>
        <w:jc w:val="both"/>
        <w:rPr>
          <w:sz w:val="24"/>
          <w:szCs w:val="24"/>
        </w:rPr>
      </w:pPr>
      <w:r w:rsidRPr="00AF399C">
        <w:rPr>
          <w:sz w:val="24"/>
          <w:szCs w:val="24"/>
        </w:rPr>
        <w:t xml:space="preserve">The Denmark search, highlighted several examples of consensus conferences, particularly those carried out the </w:t>
      </w:r>
      <w:proofErr w:type="spellStart"/>
      <w:r w:rsidR="00D943A4" w:rsidRPr="00AF399C">
        <w:rPr>
          <w:sz w:val="24"/>
          <w:szCs w:val="24"/>
        </w:rPr>
        <w:t>The</w:t>
      </w:r>
      <w:proofErr w:type="spellEnd"/>
      <w:r w:rsidR="00D943A4" w:rsidRPr="00AF399C">
        <w:rPr>
          <w:sz w:val="24"/>
          <w:szCs w:val="24"/>
        </w:rPr>
        <w:t xml:space="preserve"> Danish Board of Technology </w:t>
      </w:r>
      <w:r w:rsidR="00D943A4">
        <w:rPr>
          <w:sz w:val="24"/>
          <w:szCs w:val="24"/>
        </w:rPr>
        <w:t>(</w:t>
      </w:r>
      <w:r w:rsidRPr="00AF399C">
        <w:rPr>
          <w:sz w:val="24"/>
          <w:szCs w:val="24"/>
        </w:rPr>
        <w:t>DBT</w:t>
      </w:r>
      <w:r w:rsidR="00D943A4">
        <w:rPr>
          <w:sz w:val="24"/>
          <w:szCs w:val="24"/>
        </w:rPr>
        <w:t>)</w:t>
      </w:r>
      <w:r w:rsidRPr="00AF399C">
        <w:rPr>
          <w:sz w:val="24"/>
          <w:szCs w:val="24"/>
        </w:rPr>
        <w:t>, a quasi-independent body appointed by parliament.</w:t>
      </w:r>
      <w:r w:rsidRPr="00AF399C">
        <w:rPr>
          <w:sz w:val="24"/>
          <w:szCs w:val="24"/>
          <w:lang w:val="it-IT"/>
        </w:rPr>
        <w:t xml:space="preserve"> </w:t>
      </w:r>
      <w:r w:rsidRPr="00AF399C">
        <w:rPr>
          <w:sz w:val="24"/>
          <w:szCs w:val="24"/>
        </w:rPr>
        <w:t>Alas, none of these example represent an engagement with social policy issues, so can offer no insights into the impact of such. In addition to the consensus conferences there is one example of a Deliberative Poll on the Euro</w:t>
      </w:r>
      <w:r w:rsidR="00D943A4">
        <w:rPr>
          <w:sz w:val="24"/>
          <w:szCs w:val="24"/>
        </w:rPr>
        <w:t xml:space="preserve"> which again falls beyond the social policy remit</w:t>
      </w:r>
      <w:r w:rsidRPr="00AF399C">
        <w:rPr>
          <w:sz w:val="24"/>
          <w:szCs w:val="24"/>
        </w:rPr>
        <w:t>.</w:t>
      </w:r>
    </w:p>
    <w:p w:rsidR="00D943A4" w:rsidRPr="00AF399C" w:rsidRDefault="00D943A4" w:rsidP="00AF399C">
      <w:pPr>
        <w:jc w:val="both"/>
        <w:rPr>
          <w:sz w:val="24"/>
          <w:szCs w:val="24"/>
          <w:lang w:val="it-IT"/>
        </w:rPr>
      </w:pPr>
    </w:p>
    <w:p w:rsidR="00AF399C" w:rsidRPr="00D943A4" w:rsidRDefault="00AF399C" w:rsidP="00AF399C">
      <w:pPr>
        <w:numPr>
          <w:ilvl w:val="0"/>
          <w:numId w:val="10"/>
        </w:numPr>
        <w:jc w:val="both"/>
        <w:rPr>
          <w:b/>
          <w:i/>
          <w:color w:val="0B5484" w:themeColor="accent1" w:themeShade="80"/>
          <w:sz w:val="24"/>
          <w:szCs w:val="24"/>
          <w:lang w:val="it-IT"/>
        </w:rPr>
      </w:pPr>
      <w:r w:rsidRPr="00D943A4">
        <w:rPr>
          <w:b/>
          <w:i/>
          <w:color w:val="0B5484" w:themeColor="accent1" w:themeShade="80"/>
          <w:sz w:val="24"/>
          <w:szCs w:val="24"/>
          <w:lang w:val="it-IT"/>
        </w:rPr>
        <w:t>Are there any trends across the cases in each country that suggest some types of mini-public have had more frequent and extensive impact on social policy and practice than others?</w:t>
      </w:r>
    </w:p>
    <w:p w:rsidR="00AF399C" w:rsidRPr="00AF399C" w:rsidRDefault="00AF399C" w:rsidP="00AF399C">
      <w:pPr>
        <w:jc w:val="both"/>
        <w:rPr>
          <w:sz w:val="24"/>
          <w:szCs w:val="24"/>
        </w:rPr>
      </w:pPr>
      <w:r w:rsidRPr="00AF399C">
        <w:rPr>
          <w:sz w:val="24"/>
          <w:szCs w:val="24"/>
        </w:rPr>
        <w:t xml:space="preserve">The cases identified in Denmark show no indication that any particular type of mini-publics had a more frequent or extensive impact on policy and practice. Of those sources that reported on the policy impact, most were critical </w:t>
      </w:r>
      <w:r w:rsidR="00D943A4">
        <w:rPr>
          <w:sz w:val="24"/>
          <w:szCs w:val="24"/>
        </w:rPr>
        <w:t>of the lack of influence: ‘</w:t>
      </w:r>
      <w:r w:rsidRPr="00AF399C">
        <w:rPr>
          <w:sz w:val="24"/>
          <w:szCs w:val="24"/>
        </w:rPr>
        <w:t>At the same time, they all appeared to agree that the conference had little direct, visible impact on policy- and de</w:t>
      </w:r>
      <w:r w:rsidR="00D943A4">
        <w:rPr>
          <w:sz w:val="24"/>
          <w:szCs w:val="24"/>
        </w:rPr>
        <w:t>cision-making and public debate’</w:t>
      </w:r>
      <w:r w:rsidRPr="00AF399C">
        <w:rPr>
          <w:sz w:val="24"/>
          <w:szCs w:val="24"/>
        </w:rPr>
        <w:t xml:space="preserve"> </w:t>
      </w:r>
      <w:r w:rsidRPr="00AF399C">
        <w:rPr>
          <w:sz w:val="24"/>
          <w:szCs w:val="24"/>
        </w:rPr>
        <w:fldChar w:fldCharType="begin" w:fldLock="1"/>
      </w:r>
      <w:r w:rsidRPr="00AF399C">
        <w:rPr>
          <w:sz w:val="24"/>
          <w:szCs w:val="24"/>
        </w:rPr>
        <w:instrText>ADDIN CSL_CITATION { "citationItems" : [ { "id" : "ITEM-1", "itemData" : { "author" : [ { "dropping-particle" : "", "family" : "Joss", "given" : "Simon", "non-dropping-particle" : "", "parse-names" : false, "suffix" : "" }, { "dropping-particle" : "", "family" : "Kl\u00fcver", "given" : "Lars", "non-dropping-particle" : "", "parse-names" : false, "suffix" : "" } ], "id" : "ITEM-1", "issued" : { "date-parts" : [ [ "2001" ] ] }, "number-of-pages" : "1-92", "title" : "The Denmark National Report: Assessing Debate and Participative Technology Assessment (ADAPTA) .", "type" : "report" }, "locator" : "53", "uris" : [ "http://www.mendeley.com/documents/?uuid=3144039f-1601-4cc4-8972-008248a8ceca" ] } ], "mendeley" : { "formattedCitation" : "(Joss &amp; Kl\u00fcver 2001, p.53)", "manualFormatting" : "(Joss &amp; Kl\u00fcver 2001, p.53 in Dryzek &amp; Tucker 2008)", "plainTextFormattedCitation" : "(Joss &amp; Kl\u00fcver 2001, p.53)", "previouslyFormattedCitation" : "(Joss &amp; Kl\u00fcver 2001, p.53)" }, "properties" : {  }, "schema" : "https://github.com/citation-style-language/schema/raw/master/csl-citation.json" }</w:instrText>
      </w:r>
      <w:r w:rsidRPr="00AF399C">
        <w:rPr>
          <w:sz w:val="24"/>
          <w:szCs w:val="24"/>
        </w:rPr>
        <w:fldChar w:fldCharType="separate"/>
      </w:r>
      <w:r>
        <w:rPr>
          <w:sz w:val="24"/>
          <w:szCs w:val="24"/>
        </w:rPr>
        <w:t xml:space="preserve">(Joss &amp; Klüver 2001: </w:t>
      </w:r>
      <w:r w:rsidRPr="00AF399C">
        <w:rPr>
          <w:sz w:val="24"/>
          <w:szCs w:val="24"/>
        </w:rPr>
        <w:t>53</w:t>
      </w:r>
      <w:r>
        <w:rPr>
          <w:sz w:val="24"/>
          <w:szCs w:val="24"/>
        </w:rPr>
        <w:t xml:space="preserve">; </w:t>
      </w:r>
      <w:r w:rsidRPr="00AF399C">
        <w:rPr>
          <w:sz w:val="24"/>
          <w:szCs w:val="24"/>
        </w:rPr>
        <w:fldChar w:fldCharType="begin" w:fldLock="1"/>
      </w:r>
      <w:r w:rsidRPr="00AF399C">
        <w:rPr>
          <w:sz w:val="24"/>
          <w:szCs w:val="24"/>
        </w:rPr>
        <w:instrText>ADDIN CSL_CITATION { "citationItems" : [ { "id" : "ITEM-1", "itemData" : { "DOI" : "10.1111/j.1540-6210.2008.00928.x", "ISBN" : "00333352", "ISSN" : "00333352", "abstract" : "\uc800\uc790\ub294 deliberative '\ubbf8\ub2c8\ud37c\ube14\ub9ad'\uc758 \uc7a0\uc7ac\ub825\uc774 \ub2e4\ub978 \uc885\ub958\uc758 \uc815\uce58\uccb4\uc81c\uc5d0\uc11c \uc0ac\ubb47 \ub2e4\ub974\ub2e4\uace0 \uc8fc\uc7a5\ud55c\ub2e4. GMO \uc2dd\ud488\uc5d0 \ub300\ud55c \ub374\ub9c8\ud06c, \ud504\ub791\uc2a4, \ubbf8\uad6d\uc758 consensus conference \ube44\uad50\uc5f0\uad6c\ub97c \uc218\ud589\ud558\uc600\uc74c", "author" : [ { "dropping-particle" : "", "family" : "Dryzek", "given" : "John S", "non-dropping-particle" : "", "parse-names" : false, "suffix" : "" }, { "dropping-particle" : "", "family" : "Tucker", "given" : "Aviezer", "non-dropping-particle" : "", "parse-names" : false, "suffix" : "" } ], "container-title" : "Public Administration Review", "id" : "ITEM-1", "issue" : "5", "issued" : { "date-parts" : [ [ "2008" ] ] }, "page" : "864-876", "title" : "Deliberative innovation to different effect: Consensus conferences in Denmark, France, and the United States", "type" : "article-journal", "volume" : "68" }, "uris" : [ "http://www.mendeley.com/documents/?uuid=98ce3e53-b3aa-32f2-b35f-7fb9ad9d34c1" ] } ], "mendeley" : { "formattedCitation" : "(Dryzek &amp; Aviezer Tucker 2008)", "manualFormatting" : "Dryzek &amp; Tucker 2008)", "plainTextFormattedCitation" : "(Dryzek &amp; Aviezer Tucker 2008)", "previouslyFormattedCitation" : "(Dryzek &amp; Aviezer Tucker 2008)" }, "properties" : {  }, "schema" : "https://github.com/citation-style-language/schema/raw/master/csl-citation.json" }</w:instrText>
      </w:r>
      <w:r w:rsidRPr="00AF399C">
        <w:rPr>
          <w:sz w:val="24"/>
          <w:szCs w:val="24"/>
        </w:rPr>
        <w:fldChar w:fldCharType="separate"/>
      </w:r>
      <w:r w:rsidRPr="00AF399C">
        <w:rPr>
          <w:sz w:val="24"/>
          <w:szCs w:val="24"/>
        </w:rPr>
        <w:t>Dryzek &amp; Tucker 2008)</w:t>
      </w:r>
      <w:r w:rsidRPr="00AF399C">
        <w:rPr>
          <w:sz w:val="24"/>
          <w:szCs w:val="24"/>
        </w:rPr>
        <w:fldChar w:fldCharType="end"/>
      </w:r>
      <w:r w:rsidRPr="00AF399C">
        <w:rPr>
          <w:sz w:val="24"/>
          <w:szCs w:val="24"/>
        </w:rPr>
        <w:fldChar w:fldCharType="end"/>
      </w:r>
      <w:r w:rsidR="00D943A4">
        <w:rPr>
          <w:sz w:val="24"/>
          <w:szCs w:val="24"/>
        </w:rPr>
        <w:t>.</w:t>
      </w:r>
      <w:r w:rsidRPr="00AF399C">
        <w:rPr>
          <w:sz w:val="24"/>
          <w:szCs w:val="24"/>
        </w:rPr>
        <w:t xml:space="preserve"> </w:t>
      </w:r>
    </w:p>
    <w:p w:rsidR="00AF399C" w:rsidRPr="00AF399C" w:rsidRDefault="00AF399C" w:rsidP="00AF399C">
      <w:pPr>
        <w:jc w:val="both"/>
        <w:rPr>
          <w:sz w:val="24"/>
          <w:szCs w:val="24"/>
        </w:rPr>
      </w:pPr>
    </w:p>
    <w:p w:rsidR="00AF399C" w:rsidRPr="00D943A4" w:rsidRDefault="00AF399C" w:rsidP="00AF399C">
      <w:pPr>
        <w:numPr>
          <w:ilvl w:val="0"/>
          <w:numId w:val="10"/>
        </w:numPr>
        <w:jc w:val="both"/>
        <w:rPr>
          <w:b/>
          <w:i/>
          <w:color w:val="0B5484" w:themeColor="accent1" w:themeShade="80"/>
          <w:sz w:val="24"/>
          <w:szCs w:val="24"/>
          <w:lang w:val="it-IT"/>
        </w:rPr>
      </w:pPr>
      <w:r w:rsidRPr="00D943A4">
        <w:rPr>
          <w:b/>
          <w:i/>
          <w:color w:val="0B5484" w:themeColor="accent1" w:themeShade="80"/>
          <w:sz w:val="24"/>
          <w:szCs w:val="24"/>
        </w:rPr>
        <w:lastRenderedPageBreak/>
        <w:t xml:space="preserve">Are there any trends across the cases in each country that suggest some </w:t>
      </w:r>
      <w:r w:rsidRPr="00D943A4">
        <w:rPr>
          <w:b/>
          <w:i/>
          <w:color w:val="0B5484" w:themeColor="accent1" w:themeShade="80"/>
          <w:sz w:val="24"/>
          <w:szCs w:val="24"/>
          <w:lang w:val="it-IT"/>
        </w:rPr>
        <w:t>types of expert, methods of expert recruitment, and the methods of presentation of evidence influences citizens’ engagement with evidence in mini-publics?</w:t>
      </w:r>
    </w:p>
    <w:p w:rsidR="00AF399C" w:rsidRPr="00AF399C" w:rsidRDefault="00AF399C" w:rsidP="00AF399C">
      <w:pPr>
        <w:jc w:val="both"/>
        <w:rPr>
          <w:sz w:val="24"/>
          <w:szCs w:val="24"/>
          <w:lang w:val="it-IT"/>
        </w:rPr>
      </w:pPr>
      <w:r w:rsidRPr="00AF399C">
        <w:rPr>
          <w:sz w:val="24"/>
          <w:szCs w:val="24"/>
          <w:lang w:val="it-IT"/>
        </w:rPr>
        <w:t>In the case</w:t>
      </w:r>
      <w:r w:rsidR="00D943A4">
        <w:rPr>
          <w:sz w:val="24"/>
          <w:szCs w:val="24"/>
          <w:lang w:val="it-IT"/>
        </w:rPr>
        <w:t>s</w:t>
      </w:r>
      <w:r w:rsidRPr="00AF399C">
        <w:rPr>
          <w:sz w:val="24"/>
          <w:szCs w:val="24"/>
          <w:lang w:val="it-IT"/>
        </w:rPr>
        <w:t xml:space="preserve"> identified where this information is available, the types of expert were a range of knowledge expets from NGOs and other public bodies deemed to be on either side of the argum</w:t>
      </w:r>
      <w:r>
        <w:rPr>
          <w:sz w:val="24"/>
          <w:szCs w:val="24"/>
          <w:lang w:val="it-IT"/>
        </w:rPr>
        <w:t>e</w:t>
      </w:r>
      <w:r w:rsidRPr="00AF399C">
        <w:rPr>
          <w:sz w:val="24"/>
          <w:szCs w:val="24"/>
          <w:lang w:val="it-IT"/>
        </w:rPr>
        <w:t xml:space="preserve">nt. The expert witnesses where selected by the organising institution. This was criticised for allowing the steering committee to manipulate the results by controlling the flow of information to the deliberators through the selection of readings and expert witnesses, as well as by choosing issues and questions to put forward to the experts </w:t>
      </w:r>
      <w:r w:rsidRPr="00AF399C">
        <w:rPr>
          <w:sz w:val="24"/>
          <w:szCs w:val="24"/>
          <w:lang w:val="it-IT"/>
        </w:rPr>
        <w:fldChar w:fldCharType="begin" w:fldLock="1"/>
      </w:r>
      <w:r w:rsidRPr="00AF399C">
        <w:rPr>
          <w:sz w:val="24"/>
          <w:szCs w:val="24"/>
          <w:lang w:val="it-IT"/>
        </w:rPr>
        <w:instrText>ADDIN CSL_CITATION { "citationItems" : [ { "id" : "ITEM-1", "itemData" : { "DOI" : "10.1111/j.1467-9248.2007.00676.x", "ISBN" : "1467-9248", "ISSN" : "00323217", "abstract" : "This article examines oligarchic tendencies within institutionalised deliberative democracy in theory and practice. Institutional deliberative democracy consists of deliberations within an institution according to regulations that are enforced and lead to voluntary changes of preferences that conclude in a majority vote. Oligarchic tendencies in deliberative democracy are changes in the preferences of a majority to match those of an interested minority through its control and manipulation of the deliberative process. The usual chain of reasoning with respect to oligarchic deliberative democracy is: (1) Democratic majority rule should reflect the common will, what is good for all members of society upon reflection and deliberation. (2) When the majority does not vote for the common will, the vote is not truly democratic. (3) If the majority does not vote for the common will, special interests or their imposition on the majority by a dominating and oppressive minority are to blame. (4) The necessary initial task of managers of deliberative democracy is to overcome domination and oppression, factors that cause voting against the common will such as ignorance, the mass media, religion, class, economic inequality and special interests. (5) This overcoming requires homogenisation of the voting public, the elimination of relevant inequalities and their legacies of disinformation by re-education. (6) An educated intellectual avant-garde is in charge both of identifying the common will and of homogenising and re-educating the deliberating public. (7) When and only when such homogenisation is achieved, real deliberative democracy and its great benefits can finally take place. (8) Since the preconditions to deliberative democracy are ideal, indeed utopian, society can never be sufficiently homogeneous or the revolutionary elite sufficiently powerful to bring about the desired homogenisation and re-education. I demonstrate first the oligarchic elements in the theory. Then I examine oligarchic aspects of really existing deliberative democratic institutions, namely, consensus conferences in Denmark, France and the US. I conclude by considering whether the oligarchic tendencies in deliberative democracy are inevitable.", "author" : [ { "dropping-particle" : "", "family" : "Tucker", "given" : "Aviezer", "non-dropping-particle" : "", "parse-names" : false, "suffix" : "" } ], "container-title" : "Political Studies", "id" : "ITEM-1", "issue" : "1", "issued" : { "date-parts" : [ [ "2008", "3" ] ] }, "page" : "127-147", "title" : "Pre-emptive democracy: Oligarchic tendencies in deliberative democracy", "type" : "article-journal", "volume" : "56" }, "locator" : "128", "uris" : [ "http://www.mendeley.com/documents/?uuid=1126a46a-63ef-3022-acf2-3ce003743ff1" ] } ], "mendeley" : { "formattedCitation" : "(Tucker 2008, p.128)", "plainTextFormattedCitation" : "(Tucker 2008, p.128)", "previouslyFormattedCitation" : "(Tucker 2008, p.128)" }, "properties" : {  }, "schema" : "https://github.com/citation-style-language/schema/raw/master/csl-citation.json" }</w:instrText>
      </w:r>
      <w:r w:rsidRPr="00AF399C">
        <w:rPr>
          <w:sz w:val="24"/>
          <w:szCs w:val="24"/>
          <w:lang w:val="it-IT"/>
        </w:rPr>
        <w:fldChar w:fldCharType="separate"/>
      </w:r>
      <w:r w:rsidR="00D943A4">
        <w:rPr>
          <w:sz w:val="24"/>
          <w:szCs w:val="24"/>
          <w:lang w:val="it-IT"/>
        </w:rPr>
        <w:t>(Tucker 2008:</w:t>
      </w:r>
      <w:r w:rsidRPr="00AF399C">
        <w:rPr>
          <w:sz w:val="24"/>
          <w:szCs w:val="24"/>
          <w:lang w:val="it-IT"/>
        </w:rPr>
        <w:t>128)</w:t>
      </w:r>
      <w:r w:rsidRPr="00AF399C">
        <w:rPr>
          <w:sz w:val="24"/>
          <w:szCs w:val="24"/>
        </w:rPr>
        <w:fldChar w:fldCharType="end"/>
      </w:r>
      <w:r w:rsidRPr="00AF399C">
        <w:rPr>
          <w:sz w:val="24"/>
          <w:szCs w:val="24"/>
          <w:lang w:val="it-IT"/>
        </w:rPr>
        <w:t>. The sole format of evidence was question and answer session with particpants and expert witnesses.</w:t>
      </w:r>
    </w:p>
    <w:p w:rsidR="00AF399C" w:rsidRPr="00AF399C" w:rsidRDefault="00AF399C" w:rsidP="00AF399C">
      <w:pPr>
        <w:jc w:val="both"/>
        <w:rPr>
          <w:sz w:val="24"/>
          <w:szCs w:val="24"/>
          <w:lang w:val="it-IT"/>
        </w:rPr>
      </w:pPr>
      <w:r w:rsidRPr="00AF399C">
        <w:rPr>
          <w:sz w:val="24"/>
          <w:szCs w:val="24"/>
          <w:lang w:val="it-IT"/>
        </w:rPr>
        <w:t xml:space="preserve">As such the influence on citizens was only moderate. However, the citizens agreed on actions that were reflective of the disagreement between experts. This is reflected in the final report the citizens produced as an </w:t>
      </w:r>
      <w:r w:rsidR="00D943A4">
        <w:rPr>
          <w:sz w:val="24"/>
          <w:szCs w:val="24"/>
          <w:lang w:val="it-IT"/>
        </w:rPr>
        <w:t>outcome of the minipublic: ‘</w:t>
      </w:r>
      <w:r w:rsidRPr="00AF399C">
        <w:rPr>
          <w:sz w:val="24"/>
          <w:szCs w:val="24"/>
          <w:lang w:val="it-IT"/>
        </w:rPr>
        <w:t>There is absolutely no doubt that the production of GM foods affects nature’s cycle. However, experts strongly disagree about</w:t>
      </w:r>
      <w:r w:rsidR="00D943A4">
        <w:rPr>
          <w:sz w:val="24"/>
          <w:szCs w:val="24"/>
          <w:lang w:val="it-IT"/>
        </w:rPr>
        <w:t xml:space="preserve"> the seriousness of the effect’ </w:t>
      </w:r>
      <w:r>
        <w:rPr>
          <w:sz w:val="24"/>
          <w:szCs w:val="24"/>
          <w:lang w:val="it-IT"/>
        </w:rPr>
        <w:t>(</w:t>
      </w:r>
      <w:r w:rsidRPr="00AF399C">
        <w:rPr>
          <w:sz w:val="24"/>
          <w:szCs w:val="24"/>
        </w:rPr>
        <w:t xml:space="preserve">Joss &amp; </w:t>
      </w:r>
      <w:proofErr w:type="spellStart"/>
      <w:r w:rsidRPr="00AF399C">
        <w:rPr>
          <w:sz w:val="24"/>
          <w:szCs w:val="24"/>
        </w:rPr>
        <w:t>Klüver</w:t>
      </w:r>
      <w:proofErr w:type="spellEnd"/>
      <w:r w:rsidRPr="00AF399C">
        <w:rPr>
          <w:sz w:val="24"/>
          <w:szCs w:val="24"/>
        </w:rPr>
        <w:t xml:space="preserve"> 2001: </w:t>
      </w:r>
      <w:r w:rsidR="00FD592E">
        <w:rPr>
          <w:sz w:val="24"/>
          <w:szCs w:val="24"/>
        </w:rPr>
        <w:t>51-52).</w:t>
      </w:r>
      <w:r>
        <w:rPr>
          <w:sz w:val="24"/>
          <w:szCs w:val="24"/>
          <w:lang w:val="it-IT"/>
        </w:rPr>
        <w:t xml:space="preserve"> </w:t>
      </w:r>
      <w:r w:rsidRPr="00AF399C">
        <w:rPr>
          <w:sz w:val="24"/>
          <w:szCs w:val="24"/>
          <w:lang w:val="it-IT"/>
        </w:rPr>
        <w:t xml:space="preserve"> The sole format of evidence was question and answer session with particpants and expert witnesses. </w:t>
      </w:r>
      <w:r w:rsidR="00D943A4">
        <w:rPr>
          <w:sz w:val="24"/>
          <w:szCs w:val="24"/>
          <w:lang w:val="it-IT"/>
        </w:rPr>
        <w:t>This has approach has been criticised</w:t>
      </w:r>
      <w:r w:rsidRPr="00AF399C">
        <w:rPr>
          <w:sz w:val="24"/>
          <w:szCs w:val="24"/>
          <w:lang w:val="it-IT"/>
        </w:rPr>
        <w:t xml:space="preserve"> for</w:t>
      </w:r>
      <w:r w:rsidR="00D943A4">
        <w:rPr>
          <w:sz w:val="24"/>
          <w:szCs w:val="24"/>
          <w:lang w:val="it-IT"/>
        </w:rPr>
        <w:t xml:space="preserve"> providing a</w:t>
      </w:r>
      <w:r w:rsidRPr="00AF399C">
        <w:rPr>
          <w:sz w:val="24"/>
          <w:szCs w:val="24"/>
          <w:lang w:val="it-IT"/>
        </w:rPr>
        <w:t xml:space="preserve"> </w:t>
      </w:r>
      <w:r w:rsidR="00D943A4">
        <w:rPr>
          <w:sz w:val="24"/>
          <w:szCs w:val="24"/>
          <w:lang w:val="it-IT"/>
        </w:rPr>
        <w:t>insufficient opportunities for</w:t>
      </w:r>
      <w:r w:rsidRPr="00AF399C">
        <w:rPr>
          <w:sz w:val="24"/>
          <w:szCs w:val="24"/>
          <w:lang w:val="it-IT"/>
        </w:rPr>
        <w:t xml:space="preserve"> engagement between experts and citizens </w:t>
      </w:r>
      <w:r w:rsidRPr="00AF399C">
        <w:rPr>
          <w:sz w:val="24"/>
          <w:szCs w:val="24"/>
          <w:lang w:val="it-IT"/>
        </w:rPr>
        <w:fldChar w:fldCharType="begin" w:fldLock="1"/>
      </w:r>
      <w:r w:rsidRPr="00AF399C">
        <w:rPr>
          <w:sz w:val="24"/>
          <w:szCs w:val="24"/>
          <w:lang w:val="it-IT"/>
        </w:rPr>
        <w:instrText>ADDIN CSL_CITATION { "citationItems" : [ { "id" : "ITEM-1", "itemData" : { "DOI" : "10.1111/j.1540-6210.2008.00928.x", "ISBN" : "00333352", "ISSN" : "00333352", "abstract" : "\uc800\uc790\ub294 deliberative '\ubbf8\ub2c8\ud37c\ube14\ub9ad'\uc758 \uc7a0\uc7ac\ub825\uc774 \ub2e4\ub978 \uc885\ub958\uc758 \uc815\uce58\uccb4\uc81c\uc5d0\uc11c \uc0ac\ubb47 \ub2e4\ub974\ub2e4\uace0 \uc8fc\uc7a5\ud55c\ub2e4. GMO \uc2dd\ud488\uc5d0 \ub300\ud55c \ub374\ub9c8\ud06c, \ud504\ub791\uc2a4, \ubbf8\uad6d\uc758 consensus conference \ube44\uad50\uc5f0\uad6c\ub97c \uc218\ud589\ud558\uc600\uc74c", "author" : [ { "dropping-particle" : "", "family" : "Dryzek", "given" : "John S", "non-dropping-particle" : "", "parse-names" : false, "suffix" : "" }, { "dropping-particle" : "", "family" : "Tucker", "given" : "Aviezer", "non-dropping-particle" : "", "parse-names" : false, "suffix" : "" } ], "container-title" : "Public Administration Review", "id" : "ITEM-1", "issue" : "5", "issued" : { "date-parts" : [ [ "2008" ] ] }, "page" : "864-876", "title" : "Deliberative innovation to different effect: Consensus conferences in Denmark, France, and the United States", "type" : "article-journal", "volume" : "68" }, "uris" : [ "http://www.mendeley.com/documents/?uuid=98ce3e53-b3aa-32f2-b35f-7fb9ad9d34c1" ] } ], "mendeley" : { "formattedCitation" : "(Dryzek &amp; Aviezer Tucker 2008)", "manualFormatting" : "(see Dryzek &amp; Tucker 2008)", "plainTextFormattedCitation" : "(Dryzek &amp; Aviezer Tucker 2008)", "previouslyFormattedCitation" : "(Dryzek &amp; Aviezer Tucker 2008)" }, "properties" : {  }, "schema" : "https://github.com/citation-style-language/schema/raw/master/csl-citation.json" }</w:instrText>
      </w:r>
      <w:r w:rsidRPr="00AF399C">
        <w:rPr>
          <w:sz w:val="24"/>
          <w:szCs w:val="24"/>
          <w:lang w:val="it-IT"/>
        </w:rPr>
        <w:fldChar w:fldCharType="separate"/>
      </w:r>
      <w:r w:rsidR="00D943A4">
        <w:rPr>
          <w:sz w:val="24"/>
          <w:szCs w:val="24"/>
          <w:lang w:val="it-IT"/>
        </w:rPr>
        <w:t>(</w:t>
      </w:r>
      <w:r w:rsidRPr="00AF399C">
        <w:rPr>
          <w:sz w:val="24"/>
          <w:szCs w:val="24"/>
          <w:lang w:val="it-IT"/>
        </w:rPr>
        <w:t>Dryzek &amp; Tucker 2008)</w:t>
      </w:r>
      <w:r w:rsidRPr="00AF399C">
        <w:rPr>
          <w:sz w:val="24"/>
          <w:szCs w:val="24"/>
        </w:rPr>
        <w:fldChar w:fldCharType="end"/>
      </w:r>
      <w:r w:rsidR="00D943A4">
        <w:rPr>
          <w:sz w:val="24"/>
          <w:szCs w:val="24"/>
        </w:rPr>
        <w:t>, being described as</w:t>
      </w:r>
      <w:r w:rsidRPr="00AF399C">
        <w:rPr>
          <w:sz w:val="24"/>
          <w:szCs w:val="24"/>
          <w:lang w:val="it-IT"/>
        </w:rPr>
        <w:t xml:space="preserve"> ‘like any other meeting’ </w:t>
      </w:r>
      <w:r w:rsidRPr="00AF399C">
        <w:rPr>
          <w:sz w:val="24"/>
          <w:szCs w:val="24"/>
          <w:lang w:val="it-IT"/>
        </w:rPr>
        <w:fldChar w:fldCharType="begin" w:fldLock="1"/>
      </w:r>
      <w:r w:rsidRPr="00AF399C">
        <w:rPr>
          <w:sz w:val="24"/>
          <w:szCs w:val="24"/>
          <w:lang w:val="it-IT"/>
        </w:rPr>
        <w:instrText>ADDIN CSL_CITATION { "citationItems" : [ { "id" : "ITEM-1", "itemData" : { "author" : [ { "dropping-particle" : "", "family" : "Bereano", "given" : "Phil", "non-dropping-particle" : "", "parse-names" : false, "suffix" : "" } ], "id" : "ITEM-1", "issued" : { "date-parts" : [ [ "1999" ] ] }, "title" : "Report on Danish Citizen Consensus Conference on Genetically Engineered Foods", "type" : "legal_case" }, "locator" : "6", "uris" : [ "http://www.mendeley.com/documents/?uuid=b0d44165-fa53-41d3-8ffb-987094d073c1" ] } ], "mendeley" : { "formattedCitation" : "(Bereano 1999, p.6)", "plainTextFormattedCitation" : "(Bereano 1999, p.6)", "previouslyFormattedCitation" : "(Bereano 1999, p.6)" }, "properties" : {  }, "schema" : "https://github.com/citation-style-language/schema/raw/master/csl-citation.json" }</w:instrText>
      </w:r>
      <w:r w:rsidRPr="00AF399C">
        <w:rPr>
          <w:sz w:val="24"/>
          <w:szCs w:val="24"/>
          <w:lang w:val="it-IT"/>
        </w:rPr>
        <w:fldChar w:fldCharType="separate"/>
      </w:r>
      <w:r w:rsidR="00FD592E">
        <w:rPr>
          <w:sz w:val="24"/>
          <w:szCs w:val="24"/>
          <w:lang w:val="it-IT"/>
        </w:rPr>
        <w:t xml:space="preserve">(Bereano 1999: </w:t>
      </w:r>
      <w:r w:rsidRPr="00AF399C">
        <w:rPr>
          <w:sz w:val="24"/>
          <w:szCs w:val="24"/>
          <w:lang w:val="it-IT"/>
        </w:rPr>
        <w:t>6</w:t>
      </w:r>
      <w:r w:rsidRPr="00AF399C">
        <w:rPr>
          <w:sz w:val="24"/>
          <w:szCs w:val="24"/>
        </w:rPr>
        <w:fldChar w:fldCharType="end"/>
      </w:r>
      <w:r w:rsidR="00FD592E">
        <w:rPr>
          <w:sz w:val="24"/>
          <w:szCs w:val="24"/>
        </w:rPr>
        <w:t>)</w:t>
      </w:r>
      <w:r w:rsidRPr="00AF399C">
        <w:rPr>
          <w:sz w:val="24"/>
          <w:szCs w:val="24"/>
          <w:lang w:val="it-IT"/>
        </w:rPr>
        <w:t>.</w:t>
      </w:r>
    </w:p>
    <w:p w:rsidR="00294C4F" w:rsidRDefault="00294C4F" w:rsidP="00294C4F">
      <w:pPr>
        <w:jc w:val="both"/>
        <w:rPr>
          <w:b/>
          <w:bCs/>
          <w:color w:val="0B5484" w:themeColor="accent1" w:themeShade="80"/>
          <w:sz w:val="24"/>
          <w:szCs w:val="24"/>
        </w:rPr>
      </w:pPr>
    </w:p>
    <w:p w:rsidR="00AC17FF" w:rsidRDefault="00AC17FF" w:rsidP="00AC17FF">
      <w:pPr>
        <w:jc w:val="both"/>
        <w:rPr>
          <w:b/>
          <w:color w:val="0B5484" w:themeColor="accent1" w:themeShade="80"/>
          <w:sz w:val="24"/>
          <w:szCs w:val="24"/>
        </w:rPr>
      </w:pPr>
      <w:r w:rsidRPr="00C82A8C">
        <w:rPr>
          <w:b/>
          <w:bCs/>
          <w:color w:val="0B5484" w:themeColor="accent1" w:themeShade="80"/>
          <w:sz w:val="24"/>
          <w:szCs w:val="24"/>
        </w:rPr>
        <w:t xml:space="preserve">Table </w:t>
      </w:r>
      <w:r>
        <w:rPr>
          <w:b/>
          <w:bCs/>
          <w:color w:val="0B5484" w:themeColor="accent1" w:themeShade="80"/>
          <w:sz w:val="24"/>
          <w:szCs w:val="24"/>
        </w:rPr>
        <w:t xml:space="preserve">7: </w:t>
      </w:r>
      <w:r w:rsidRPr="00D943A4">
        <w:rPr>
          <w:b/>
          <w:color w:val="0B5484" w:themeColor="accent1" w:themeShade="80"/>
          <w:sz w:val="24"/>
          <w:szCs w:val="24"/>
        </w:rPr>
        <w:t>Denmark and Finland</w:t>
      </w:r>
      <w:r>
        <w:rPr>
          <w:b/>
          <w:color w:val="0B5484" w:themeColor="accent1" w:themeShade="80"/>
          <w:sz w:val="24"/>
          <w:szCs w:val="24"/>
        </w:rPr>
        <w:t xml:space="preserve">: </w:t>
      </w:r>
      <w:r>
        <w:rPr>
          <w:b/>
          <w:bCs/>
          <w:color w:val="0B5484" w:themeColor="accent1" w:themeShade="80"/>
          <w:sz w:val="24"/>
          <w:szCs w:val="24"/>
        </w:rPr>
        <w:t>Witnesses and Evidence in</w:t>
      </w:r>
      <w:r w:rsidRPr="00C82A8C">
        <w:rPr>
          <w:b/>
          <w:bCs/>
          <w:color w:val="0B5484" w:themeColor="accent1" w:themeShade="80"/>
          <w:sz w:val="24"/>
          <w:szCs w:val="24"/>
        </w:rPr>
        <w:t xml:space="preserve"> </w:t>
      </w:r>
      <w:r>
        <w:rPr>
          <w:b/>
          <w:color w:val="0B5484" w:themeColor="accent1" w:themeShade="80"/>
          <w:sz w:val="24"/>
          <w:szCs w:val="24"/>
        </w:rPr>
        <w:t xml:space="preserve">Mini-Public </w:t>
      </w:r>
      <w:r w:rsidRPr="00C82A8C">
        <w:rPr>
          <w:b/>
          <w:color w:val="0B5484" w:themeColor="accent1" w:themeShade="80"/>
          <w:sz w:val="24"/>
          <w:szCs w:val="24"/>
        </w:rPr>
        <w:t>Cases</w:t>
      </w:r>
    </w:p>
    <w:tbl>
      <w:tblPr>
        <w:tblStyle w:val="TableGrid"/>
        <w:tblW w:w="11199" w:type="dxa"/>
        <w:tblInd w:w="-998" w:type="dxa"/>
        <w:tblLook w:val="04A0" w:firstRow="1" w:lastRow="0" w:firstColumn="1" w:lastColumn="0" w:noHBand="0" w:noVBand="1"/>
      </w:tblPr>
      <w:tblGrid>
        <w:gridCol w:w="567"/>
        <w:gridCol w:w="3134"/>
        <w:gridCol w:w="1120"/>
        <w:gridCol w:w="1616"/>
        <w:gridCol w:w="1308"/>
        <w:gridCol w:w="1104"/>
        <w:gridCol w:w="2350"/>
      </w:tblGrid>
      <w:tr w:rsidR="00294C4F" w:rsidTr="0085256C">
        <w:tc>
          <w:tcPr>
            <w:tcW w:w="567" w:type="dxa"/>
          </w:tcPr>
          <w:p w:rsidR="00294C4F" w:rsidRPr="0003015A" w:rsidRDefault="00294C4F" w:rsidP="0085256C">
            <w:pPr>
              <w:rPr>
                <w:rFonts w:cstheme="minorHAnsi"/>
                <w:b/>
                <w:i/>
                <w:color w:val="0B5484" w:themeColor="accent1" w:themeShade="80"/>
                <w:sz w:val="20"/>
                <w:szCs w:val="20"/>
              </w:rPr>
            </w:pPr>
            <w:r w:rsidRPr="0003015A">
              <w:rPr>
                <w:rFonts w:cstheme="minorHAnsi"/>
                <w:b/>
                <w:i/>
                <w:color w:val="0B5484" w:themeColor="accent1" w:themeShade="80"/>
                <w:sz w:val="20"/>
                <w:szCs w:val="20"/>
              </w:rPr>
              <w:t>No.</w:t>
            </w:r>
          </w:p>
        </w:tc>
        <w:tc>
          <w:tcPr>
            <w:tcW w:w="3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94C4F" w:rsidRPr="0003015A" w:rsidRDefault="00294C4F" w:rsidP="0085256C">
            <w:pPr>
              <w:rPr>
                <w:rFonts w:cstheme="minorHAnsi"/>
                <w:b/>
                <w:bCs/>
                <w:i/>
                <w:color w:val="0B5484" w:themeColor="accent1" w:themeShade="80"/>
                <w:sz w:val="20"/>
                <w:szCs w:val="20"/>
              </w:rPr>
            </w:pPr>
            <w:r w:rsidRPr="0003015A">
              <w:rPr>
                <w:rFonts w:cstheme="minorHAnsi"/>
                <w:b/>
                <w:bCs/>
                <w:i/>
                <w:color w:val="0B5484" w:themeColor="accent1" w:themeShade="80"/>
                <w:sz w:val="20"/>
                <w:szCs w:val="20"/>
              </w:rPr>
              <w:t>Activities</w:t>
            </w:r>
          </w:p>
        </w:tc>
        <w:tc>
          <w:tcPr>
            <w:tcW w:w="1120" w:type="dxa"/>
            <w:tcBorders>
              <w:top w:val="single" w:sz="4" w:space="0" w:color="auto"/>
              <w:left w:val="nil"/>
              <w:bottom w:val="single" w:sz="4" w:space="0" w:color="auto"/>
              <w:right w:val="single" w:sz="4" w:space="0" w:color="auto"/>
            </w:tcBorders>
            <w:shd w:val="clear" w:color="auto" w:fill="FFFFFF" w:themeFill="background1"/>
            <w:vAlign w:val="center"/>
          </w:tcPr>
          <w:p w:rsidR="00294C4F" w:rsidRPr="0003015A" w:rsidRDefault="00294C4F" w:rsidP="0085256C">
            <w:pPr>
              <w:rPr>
                <w:rFonts w:cstheme="minorHAnsi"/>
                <w:b/>
                <w:bCs/>
                <w:i/>
                <w:color w:val="0B5484" w:themeColor="accent1" w:themeShade="80"/>
                <w:sz w:val="20"/>
                <w:szCs w:val="20"/>
              </w:rPr>
            </w:pPr>
            <w:r w:rsidRPr="0003015A">
              <w:rPr>
                <w:rFonts w:cstheme="minorHAnsi"/>
                <w:b/>
                <w:bCs/>
                <w:i/>
                <w:color w:val="0B5484" w:themeColor="accent1" w:themeShade="80"/>
                <w:sz w:val="20"/>
                <w:szCs w:val="20"/>
              </w:rPr>
              <w:t xml:space="preserve">No. </w:t>
            </w:r>
          </w:p>
          <w:p w:rsidR="00294C4F" w:rsidRPr="0003015A" w:rsidRDefault="00294C4F" w:rsidP="0085256C">
            <w:pPr>
              <w:rPr>
                <w:rFonts w:cstheme="minorHAnsi"/>
                <w:b/>
                <w:bCs/>
                <w:i/>
                <w:color w:val="0B5484" w:themeColor="accent1" w:themeShade="80"/>
                <w:sz w:val="20"/>
                <w:szCs w:val="20"/>
              </w:rPr>
            </w:pPr>
            <w:r w:rsidRPr="0003015A">
              <w:rPr>
                <w:rFonts w:cstheme="minorHAnsi"/>
                <w:b/>
                <w:bCs/>
                <w:i/>
                <w:color w:val="0B5484" w:themeColor="accent1" w:themeShade="80"/>
                <w:sz w:val="20"/>
                <w:szCs w:val="20"/>
              </w:rPr>
              <w:t>witnesses</w:t>
            </w:r>
          </w:p>
        </w:tc>
        <w:tc>
          <w:tcPr>
            <w:tcW w:w="1616" w:type="dxa"/>
            <w:tcBorders>
              <w:top w:val="single" w:sz="4" w:space="0" w:color="auto"/>
              <w:left w:val="nil"/>
              <w:bottom w:val="single" w:sz="4" w:space="0" w:color="auto"/>
              <w:right w:val="single" w:sz="4" w:space="0" w:color="auto"/>
            </w:tcBorders>
            <w:shd w:val="clear" w:color="auto" w:fill="FFFFFF" w:themeFill="background1"/>
            <w:vAlign w:val="center"/>
          </w:tcPr>
          <w:p w:rsidR="00294C4F" w:rsidRPr="0003015A" w:rsidRDefault="00294C4F" w:rsidP="0085256C">
            <w:pPr>
              <w:rPr>
                <w:rFonts w:cstheme="minorHAnsi"/>
                <w:b/>
                <w:bCs/>
                <w:i/>
                <w:color w:val="0B5484" w:themeColor="accent1" w:themeShade="80"/>
                <w:sz w:val="20"/>
                <w:szCs w:val="20"/>
              </w:rPr>
            </w:pPr>
            <w:r w:rsidRPr="0003015A">
              <w:rPr>
                <w:rFonts w:cstheme="minorHAnsi"/>
                <w:b/>
                <w:bCs/>
                <w:i/>
                <w:color w:val="0B5484" w:themeColor="accent1" w:themeShade="80"/>
                <w:sz w:val="20"/>
                <w:szCs w:val="20"/>
              </w:rPr>
              <w:t>Type of witnesses</w:t>
            </w:r>
          </w:p>
        </w:tc>
        <w:tc>
          <w:tcPr>
            <w:tcW w:w="1308" w:type="dxa"/>
            <w:tcBorders>
              <w:top w:val="single" w:sz="4" w:space="0" w:color="auto"/>
              <w:left w:val="nil"/>
              <w:bottom w:val="single" w:sz="4" w:space="0" w:color="auto"/>
              <w:right w:val="single" w:sz="4" w:space="0" w:color="auto"/>
            </w:tcBorders>
            <w:shd w:val="clear" w:color="auto" w:fill="FFFFFF" w:themeFill="background1"/>
            <w:vAlign w:val="center"/>
          </w:tcPr>
          <w:p w:rsidR="00294C4F" w:rsidRPr="0003015A" w:rsidRDefault="00294C4F" w:rsidP="0085256C">
            <w:pPr>
              <w:rPr>
                <w:rFonts w:cstheme="minorHAnsi"/>
                <w:b/>
                <w:bCs/>
                <w:i/>
                <w:color w:val="0B5484" w:themeColor="accent1" w:themeShade="80"/>
                <w:sz w:val="20"/>
                <w:szCs w:val="20"/>
              </w:rPr>
            </w:pPr>
            <w:r w:rsidRPr="0003015A">
              <w:rPr>
                <w:rFonts w:cstheme="minorHAnsi"/>
                <w:b/>
                <w:bCs/>
                <w:i/>
                <w:color w:val="0B5484" w:themeColor="accent1" w:themeShade="80"/>
                <w:sz w:val="20"/>
                <w:szCs w:val="20"/>
              </w:rPr>
              <w:t>Witness recruitment method</w:t>
            </w:r>
          </w:p>
        </w:tc>
        <w:tc>
          <w:tcPr>
            <w:tcW w:w="1104" w:type="dxa"/>
            <w:tcBorders>
              <w:top w:val="single" w:sz="4" w:space="0" w:color="auto"/>
              <w:left w:val="nil"/>
              <w:bottom w:val="single" w:sz="4" w:space="0" w:color="auto"/>
              <w:right w:val="single" w:sz="4" w:space="0" w:color="auto"/>
            </w:tcBorders>
            <w:shd w:val="clear" w:color="auto" w:fill="FFFFFF" w:themeFill="background1"/>
            <w:vAlign w:val="center"/>
          </w:tcPr>
          <w:p w:rsidR="00294C4F" w:rsidRPr="0003015A" w:rsidRDefault="00294C4F" w:rsidP="0085256C">
            <w:pPr>
              <w:rPr>
                <w:rFonts w:cstheme="minorHAnsi"/>
                <w:b/>
                <w:bCs/>
                <w:i/>
                <w:color w:val="0B5484" w:themeColor="accent1" w:themeShade="80"/>
                <w:sz w:val="20"/>
                <w:szCs w:val="20"/>
              </w:rPr>
            </w:pPr>
            <w:r w:rsidRPr="0003015A">
              <w:rPr>
                <w:rFonts w:cstheme="minorHAnsi"/>
                <w:b/>
                <w:bCs/>
                <w:i/>
                <w:color w:val="0B5484" w:themeColor="accent1" w:themeShade="80"/>
                <w:sz w:val="20"/>
                <w:szCs w:val="20"/>
              </w:rPr>
              <w:t>No. witness sessions</w:t>
            </w:r>
          </w:p>
        </w:tc>
        <w:tc>
          <w:tcPr>
            <w:tcW w:w="2350" w:type="dxa"/>
            <w:tcBorders>
              <w:top w:val="single" w:sz="4" w:space="0" w:color="auto"/>
              <w:left w:val="nil"/>
              <w:bottom w:val="single" w:sz="4" w:space="0" w:color="auto"/>
              <w:right w:val="single" w:sz="4" w:space="0" w:color="auto"/>
            </w:tcBorders>
            <w:shd w:val="clear" w:color="auto" w:fill="FFFFFF" w:themeFill="background1"/>
            <w:vAlign w:val="center"/>
          </w:tcPr>
          <w:p w:rsidR="00294C4F" w:rsidRPr="0003015A" w:rsidRDefault="00294C4F" w:rsidP="0085256C">
            <w:pPr>
              <w:rPr>
                <w:rFonts w:cstheme="minorHAnsi"/>
                <w:b/>
                <w:bCs/>
                <w:i/>
                <w:color w:val="0B5484" w:themeColor="accent1" w:themeShade="80"/>
                <w:sz w:val="20"/>
                <w:szCs w:val="20"/>
              </w:rPr>
            </w:pPr>
            <w:r w:rsidRPr="0003015A">
              <w:rPr>
                <w:rFonts w:cstheme="minorHAnsi"/>
                <w:b/>
                <w:bCs/>
                <w:i/>
                <w:color w:val="0B5484" w:themeColor="accent1" w:themeShade="80"/>
                <w:sz w:val="20"/>
                <w:szCs w:val="20"/>
              </w:rPr>
              <w:t>Format of evidence presentation</w:t>
            </w:r>
          </w:p>
        </w:tc>
      </w:tr>
      <w:tr w:rsidR="00294C4F" w:rsidTr="00BC070F">
        <w:tc>
          <w:tcPr>
            <w:tcW w:w="567" w:type="dxa"/>
            <w:shd w:val="clear" w:color="auto" w:fill="ABD9F8" w:themeFill="accent1" w:themeFillTint="66"/>
            <w:vAlign w:val="center"/>
          </w:tcPr>
          <w:p w:rsidR="00294C4F" w:rsidRPr="00BC070F" w:rsidRDefault="00294C4F" w:rsidP="0085256C">
            <w:pPr>
              <w:rPr>
                <w:rFonts w:cstheme="minorHAnsi"/>
                <w:b/>
                <w:i/>
                <w:sz w:val="20"/>
                <w:szCs w:val="20"/>
              </w:rPr>
            </w:pPr>
            <w:r w:rsidRPr="00BC070F">
              <w:rPr>
                <w:rFonts w:cstheme="minorHAnsi"/>
                <w:b/>
                <w:i/>
                <w:sz w:val="20"/>
                <w:szCs w:val="20"/>
              </w:rPr>
              <w:t>16</w:t>
            </w:r>
          </w:p>
        </w:tc>
        <w:tc>
          <w:tcPr>
            <w:tcW w:w="3134" w:type="dxa"/>
            <w:tcBorders>
              <w:top w:val="single" w:sz="4" w:space="0" w:color="auto"/>
              <w:left w:val="single" w:sz="4" w:space="0" w:color="auto"/>
              <w:bottom w:val="single" w:sz="4" w:space="0" w:color="auto"/>
              <w:right w:val="single" w:sz="4" w:space="0" w:color="auto"/>
            </w:tcBorders>
            <w:shd w:val="clear" w:color="auto" w:fill="ABD9F8" w:themeFill="accent1" w:themeFillTint="66"/>
          </w:tcPr>
          <w:p w:rsidR="00294C4F" w:rsidRPr="00200248" w:rsidRDefault="00294C4F" w:rsidP="0085256C">
            <w:pPr>
              <w:rPr>
                <w:rFonts w:cstheme="minorHAnsi"/>
                <w:color w:val="000000"/>
                <w:sz w:val="20"/>
                <w:szCs w:val="20"/>
              </w:rPr>
            </w:pPr>
            <w:r w:rsidRPr="00200248">
              <w:rPr>
                <w:rFonts w:cstheme="minorHAnsi"/>
                <w:color w:val="000000"/>
                <w:sz w:val="20"/>
                <w:szCs w:val="20"/>
              </w:rPr>
              <w:t>Don't know</w:t>
            </w:r>
          </w:p>
        </w:tc>
        <w:tc>
          <w:tcPr>
            <w:tcW w:w="1120" w:type="dxa"/>
            <w:tcBorders>
              <w:top w:val="single" w:sz="4" w:space="0" w:color="auto"/>
              <w:left w:val="single" w:sz="4" w:space="0" w:color="auto"/>
              <w:bottom w:val="single" w:sz="4" w:space="0" w:color="auto"/>
              <w:right w:val="single" w:sz="4" w:space="0" w:color="auto"/>
            </w:tcBorders>
            <w:shd w:val="clear" w:color="auto" w:fill="ABD9F8" w:themeFill="accent1" w:themeFillTint="66"/>
          </w:tcPr>
          <w:p w:rsidR="00294C4F" w:rsidRPr="00200248" w:rsidRDefault="00294C4F" w:rsidP="0085256C">
            <w:pPr>
              <w:rPr>
                <w:rFonts w:cstheme="minorHAnsi"/>
                <w:color w:val="000000"/>
                <w:sz w:val="20"/>
                <w:szCs w:val="20"/>
              </w:rPr>
            </w:pPr>
            <w:r w:rsidRPr="00200248">
              <w:rPr>
                <w:rFonts w:cstheme="minorHAnsi"/>
                <w:color w:val="000000"/>
                <w:sz w:val="20"/>
                <w:szCs w:val="20"/>
              </w:rPr>
              <w:t>13</w:t>
            </w:r>
          </w:p>
        </w:tc>
        <w:tc>
          <w:tcPr>
            <w:tcW w:w="1616" w:type="dxa"/>
            <w:tcBorders>
              <w:top w:val="single" w:sz="4" w:space="0" w:color="auto"/>
              <w:left w:val="single" w:sz="4" w:space="0" w:color="auto"/>
              <w:bottom w:val="single" w:sz="4" w:space="0" w:color="auto"/>
              <w:right w:val="single" w:sz="4" w:space="0" w:color="auto"/>
            </w:tcBorders>
            <w:shd w:val="clear" w:color="auto" w:fill="ABD9F8" w:themeFill="accent1" w:themeFillTint="66"/>
          </w:tcPr>
          <w:p w:rsidR="00294C4F" w:rsidRPr="00200248" w:rsidRDefault="00294C4F" w:rsidP="0085256C">
            <w:pPr>
              <w:rPr>
                <w:rFonts w:cstheme="minorHAnsi"/>
                <w:color w:val="000000"/>
                <w:sz w:val="20"/>
                <w:szCs w:val="20"/>
              </w:rPr>
            </w:pPr>
            <w:r w:rsidRPr="00200248">
              <w:rPr>
                <w:rFonts w:cstheme="minorHAnsi"/>
                <w:color w:val="000000"/>
                <w:sz w:val="20"/>
                <w:szCs w:val="20"/>
              </w:rPr>
              <w:t xml:space="preserve">Knowledge experts </w:t>
            </w:r>
          </w:p>
        </w:tc>
        <w:tc>
          <w:tcPr>
            <w:tcW w:w="1308" w:type="dxa"/>
            <w:tcBorders>
              <w:top w:val="single" w:sz="4" w:space="0" w:color="auto"/>
              <w:left w:val="single" w:sz="4" w:space="0" w:color="auto"/>
              <w:bottom w:val="single" w:sz="4" w:space="0" w:color="auto"/>
              <w:right w:val="single" w:sz="4" w:space="0" w:color="auto"/>
            </w:tcBorders>
            <w:shd w:val="clear" w:color="auto" w:fill="ABD9F8" w:themeFill="accent1" w:themeFillTint="66"/>
          </w:tcPr>
          <w:p w:rsidR="00294C4F" w:rsidRPr="00200248" w:rsidRDefault="00294C4F" w:rsidP="0085256C">
            <w:pPr>
              <w:rPr>
                <w:rFonts w:cstheme="minorHAnsi"/>
                <w:color w:val="000000"/>
                <w:sz w:val="20"/>
                <w:szCs w:val="20"/>
              </w:rPr>
            </w:pPr>
            <w:r w:rsidRPr="00200248">
              <w:rPr>
                <w:rFonts w:cstheme="minorHAnsi"/>
                <w:color w:val="000000"/>
                <w:sz w:val="20"/>
                <w:szCs w:val="20"/>
              </w:rPr>
              <w:t>Mini-public organisers</w:t>
            </w:r>
          </w:p>
        </w:tc>
        <w:tc>
          <w:tcPr>
            <w:tcW w:w="1104" w:type="dxa"/>
            <w:tcBorders>
              <w:top w:val="single" w:sz="4" w:space="0" w:color="auto"/>
              <w:left w:val="single" w:sz="4" w:space="0" w:color="auto"/>
              <w:bottom w:val="single" w:sz="4" w:space="0" w:color="auto"/>
              <w:right w:val="single" w:sz="4" w:space="0" w:color="auto"/>
            </w:tcBorders>
            <w:shd w:val="clear" w:color="auto" w:fill="ABD9F8" w:themeFill="accent1" w:themeFillTint="66"/>
          </w:tcPr>
          <w:p w:rsidR="00294C4F" w:rsidRPr="00200248" w:rsidRDefault="00294C4F" w:rsidP="0085256C">
            <w:pPr>
              <w:rPr>
                <w:rFonts w:cstheme="minorHAnsi"/>
                <w:color w:val="000000"/>
                <w:sz w:val="20"/>
                <w:szCs w:val="20"/>
              </w:rPr>
            </w:pPr>
            <w:r w:rsidRPr="00200248">
              <w:rPr>
                <w:rFonts w:cstheme="minorHAnsi"/>
                <w:color w:val="000000"/>
                <w:sz w:val="20"/>
                <w:szCs w:val="20"/>
              </w:rPr>
              <w:t>2</w:t>
            </w:r>
          </w:p>
        </w:tc>
        <w:tc>
          <w:tcPr>
            <w:tcW w:w="2350" w:type="dxa"/>
            <w:tcBorders>
              <w:top w:val="single" w:sz="4" w:space="0" w:color="auto"/>
              <w:left w:val="single" w:sz="4" w:space="0" w:color="auto"/>
              <w:bottom w:val="single" w:sz="4" w:space="0" w:color="auto"/>
              <w:right w:val="single" w:sz="4" w:space="0" w:color="auto"/>
            </w:tcBorders>
            <w:shd w:val="clear" w:color="auto" w:fill="ABD9F8" w:themeFill="accent1" w:themeFillTint="66"/>
          </w:tcPr>
          <w:p w:rsidR="00294C4F" w:rsidRPr="00200248" w:rsidRDefault="00294C4F" w:rsidP="0085256C">
            <w:pPr>
              <w:rPr>
                <w:rFonts w:cstheme="minorHAnsi"/>
                <w:color w:val="000000"/>
                <w:sz w:val="20"/>
                <w:szCs w:val="20"/>
              </w:rPr>
            </w:pPr>
            <w:r w:rsidRPr="00200248">
              <w:rPr>
                <w:rFonts w:cstheme="minorHAnsi"/>
                <w:color w:val="000000"/>
                <w:sz w:val="20"/>
                <w:szCs w:val="20"/>
              </w:rPr>
              <w:t>Question &amp; Answer</w:t>
            </w:r>
          </w:p>
        </w:tc>
      </w:tr>
      <w:tr w:rsidR="00294C4F" w:rsidTr="0085256C">
        <w:tc>
          <w:tcPr>
            <w:tcW w:w="567" w:type="dxa"/>
            <w:vAlign w:val="center"/>
          </w:tcPr>
          <w:p w:rsidR="00294C4F" w:rsidRPr="00BC070F" w:rsidRDefault="00294C4F" w:rsidP="0085256C">
            <w:pPr>
              <w:rPr>
                <w:rFonts w:cstheme="minorHAnsi"/>
                <w:b/>
                <w:i/>
                <w:sz w:val="20"/>
                <w:szCs w:val="20"/>
              </w:rPr>
            </w:pPr>
            <w:r w:rsidRPr="00BC070F">
              <w:rPr>
                <w:rFonts w:cstheme="minorHAnsi"/>
                <w:b/>
                <w:i/>
                <w:sz w:val="20"/>
                <w:szCs w:val="20"/>
              </w:rPr>
              <w:t>17</w:t>
            </w:r>
          </w:p>
        </w:tc>
        <w:tc>
          <w:tcPr>
            <w:tcW w:w="3134" w:type="dxa"/>
            <w:tcBorders>
              <w:top w:val="nil"/>
              <w:left w:val="single" w:sz="4" w:space="0" w:color="auto"/>
              <w:bottom w:val="single" w:sz="4" w:space="0" w:color="auto"/>
              <w:right w:val="single" w:sz="4" w:space="0" w:color="auto"/>
            </w:tcBorders>
            <w:shd w:val="clear" w:color="auto" w:fill="auto"/>
            <w:vAlign w:val="bottom"/>
          </w:tcPr>
          <w:p w:rsidR="00294C4F" w:rsidRPr="00200248" w:rsidRDefault="00294C4F" w:rsidP="0085256C">
            <w:pPr>
              <w:rPr>
                <w:rFonts w:cstheme="minorHAnsi"/>
                <w:color w:val="000000"/>
                <w:sz w:val="20"/>
                <w:szCs w:val="20"/>
              </w:rPr>
            </w:pPr>
            <w:r w:rsidRPr="00200248">
              <w:rPr>
                <w:rFonts w:cstheme="minorHAnsi"/>
                <w:color w:val="000000"/>
                <w:sz w:val="20"/>
                <w:szCs w:val="20"/>
              </w:rPr>
              <w:t>Combination of plenary and group</w:t>
            </w:r>
          </w:p>
        </w:tc>
        <w:tc>
          <w:tcPr>
            <w:tcW w:w="1120" w:type="dxa"/>
            <w:tcBorders>
              <w:top w:val="nil"/>
              <w:left w:val="single" w:sz="4" w:space="0" w:color="auto"/>
              <w:bottom w:val="single" w:sz="4" w:space="0" w:color="auto"/>
              <w:right w:val="single" w:sz="4" w:space="0" w:color="auto"/>
            </w:tcBorders>
            <w:shd w:val="clear" w:color="auto" w:fill="auto"/>
            <w:vAlign w:val="bottom"/>
          </w:tcPr>
          <w:p w:rsidR="00294C4F" w:rsidRPr="00200248" w:rsidRDefault="00294C4F" w:rsidP="0085256C">
            <w:pPr>
              <w:rPr>
                <w:rFonts w:cstheme="minorHAnsi"/>
                <w:color w:val="000000"/>
                <w:sz w:val="20"/>
                <w:szCs w:val="20"/>
              </w:rPr>
            </w:pPr>
            <w:r w:rsidRPr="00200248">
              <w:rPr>
                <w:rFonts w:cstheme="minorHAnsi"/>
                <w:color w:val="000000"/>
                <w:sz w:val="20"/>
                <w:szCs w:val="20"/>
              </w:rPr>
              <w:t>Don't know</w:t>
            </w:r>
          </w:p>
        </w:tc>
        <w:tc>
          <w:tcPr>
            <w:tcW w:w="1616" w:type="dxa"/>
            <w:tcBorders>
              <w:top w:val="nil"/>
              <w:left w:val="single" w:sz="4" w:space="0" w:color="auto"/>
              <w:bottom w:val="single" w:sz="4" w:space="0" w:color="auto"/>
              <w:right w:val="single" w:sz="4" w:space="0" w:color="auto"/>
            </w:tcBorders>
            <w:shd w:val="clear" w:color="auto" w:fill="auto"/>
            <w:vAlign w:val="bottom"/>
          </w:tcPr>
          <w:p w:rsidR="00294C4F" w:rsidRPr="00200248" w:rsidRDefault="00294C4F" w:rsidP="0085256C">
            <w:pPr>
              <w:rPr>
                <w:rFonts w:cstheme="minorHAnsi"/>
                <w:color w:val="000000"/>
                <w:sz w:val="20"/>
                <w:szCs w:val="20"/>
              </w:rPr>
            </w:pPr>
            <w:r w:rsidRPr="00200248">
              <w:rPr>
                <w:rFonts w:cstheme="minorHAnsi"/>
                <w:color w:val="000000"/>
                <w:sz w:val="20"/>
                <w:szCs w:val="20"/>
              </w:rPr>
              <w:t>Don't know</w:t>
            </w:r>
          </w:p>
        </w:tc>
        <w:tc>
          <w:tcPr>
            <w:tcW w:w="1308" w:type="dxa"/>
            <w:tcBorders>
              <w:top w:val="nil"/>
              <w:left w:val="single" w:sz="4" w:space="0" w:color="auto"/>
              <w:bottom w:val="single" w:sz="4" w:space="0" w:color="auto"/>
              <w:right w:val="single" w:sz="4" w:space="0" w:color="auto"/>
            </w:tcBorders>
            <w:shd w:val="clear" w:color="auto" w:fill="auto"/>
            <w:vAlign w:val="bottom"/>
          </w:tcPr>
          <w:p w:rsidR="00294C4F" w:rsidRPr="00200248" w:rsidRDefault="00294C4F" w:rsidP="0085256C">
            <w:pPr>
              <w:rPr>
                <w:rFonts w:cstheme="minorHAnsi"/>
                <w:color w:val="000000"/>
                <w:sz w:val="20"/>
                <w:szCs w:val="20"/>
              </w:rPr>
            </w:pPr>
            <w:r w:rsidRPr="00200248">
              <w:rPr>
                <w:rFonts w:cstheme="minorHAnsi"/>
                <w:color w:val="000000"/>
                <w:sz w:val="20"/>
                <w:szCs w:val="20"/>
              </w:rPr>
              <w:t>Don't know</w:t>
            </w:r>
          </w:p>
        </w:tc>
        <w:tc>
          <w:tcPr>
            <w:tcW w:w="1104" w:type="dxa"/>
            <w:tcBorders>
              <w:top w:val="nil"/>
              <w:left w:val="single" w:sz="4" w:space="0" w:color="auto"/>
              <w:bottom w:val="single" w:sz="4" w:space="0" w:color="auto"/>
              <w:right w:val="single" w:sz="4" w:space="0" w:color="auto"/>
            </w:tcBorders>
            <w:shd w:val="clear" w:color="auto" w:fill="auto"/>
            <w:vAlign w:val="bottom"/>
          </w:tcPr>
          <w:p w:rsidR="00294C4F" w:rsidRPr="00200248" w:rsidRDefault="00294C4F" w:rsidP="0085256C">
            <w:pPr>
              <w:rPr>
                <w:rFonts w:cstheme="minorHAnsi"/>
                <w:color w:val="000000"/>
                <w:sz w:val="20"/>
                <w:szCs w:val="20"/>
              </w:rPr>
            </w:pPr>
            <w:r w:rsidRPr="00200248">
              <w:rPr>
                <w:rFonts w:cstheme="minorHAnsi"/>
                <w:color w:val="000000"/>
                <w:sz w:val="20"/>
                <w:szCs w:val="20"/>
              </w:rPr>
              <w:t>Don't know</w:t>
            </w:r>
          </w:p>
        </w:tc>
        <w:tc>
          <w:tcPr>
            <w:tcW w:w="2350" w:type="dxa"/>
            <w:tcBorders>
              <w:top w:val="nil"/>
              <w:left w:val="single" w:sz="4" w:space="0" w:color="auto"/>
              <w:bottom w:val="single" w:sz="4" w:space="0" w:color="auto"/>
              <w:right w:val="single" w:sz="4" w:space="0" w:color="auto"/>
            </w:tcBorders>
            <w:shd w:val="clear" w:color="auto" w:fill="auto"/>
            <w:vAlign w:val="bottom"/>
          </w:tcPr>
          <w:p w:rsidR="00294C4F" w:rsidRPr="00200248" w:rsidRDefault="00294C4F" w:rsidP="0085256C">
            <w:pPr>
              <w:rPr>
                <w:rFonts w:cstheme="minorHAnsi"/>
                <w:color w:val="000000"/>
                <w:sz w:val="20"/>
                <w:szCs w:val="20"/>
              </w:rPr>
            </w:pPr>
            <w:r w:rsidRPr="00200248">
              <w:rPr>
                <w:rFonts w:cstheme="minorHAnsi"/>
                <w:color w:val="000000"/>
                <w:sz w:val="20"/>
                <w:szCs w:val="20"/>
              </w:rPr>
              <w:t>Don't know</w:t>
            </w:r>
          </w:p>
        </w:tc>
      </w:tr>
      <w:tr w:rsidR="00294C4F" w:rsidTr="00BC070F">
        <w:tc>
          <w:tcPr>
            <w:tcW w:w="567" w:type="dxa"/>
            <w:shd w:val="clear" w:color="auto" w:fill="ABD9F8" w:themeFill="accent1" w:themeFillTint="66"/>
            <w:vAlign w:val="center"/>
          </w:tcPr>
          <w:p w:rsidR="00294C4F" w:rsidRPr="00BC070F" w:rsidRDefault="00294C4F" w:rsidP="0085256C">
            <w:pPr>
              <w:rPr>
                <w:rFonts w:cstheme="minorHAnsi"/>
                <w:b/>
                <w:i/>
                <w:sz w:val="20"/>
                <w:szCs w:val="20"/>
              </w:rPr>
            </w:pPr>
            <w:r w:rsidRPr="00BC070F">
              <w:rPr>
                <w:rFonts w:cstheme="minorHAnsi"/>
                <w:b/>
                <w:i/>
                <w:sz w:val="20"/>
                <w:szCs w:val="20"/>
              </w:rPr>
              <w:t>18</w:t>
            </w:r>
          </w:p>
        </w:tc>
        <w:tc>
          <w:tcPr>
            <w:tcW w:w="3134" w:type="dxa"/>
            <w:tcBorders>
              <w:top w:val="nil"/>
              <w:left w:val="single" w:sz="4" w:space="0" w:color="auto"/>
              <w:bottom w:val="single" w:sz="4" w:space="0" w:color="auto"/>
              <w:right w:val="single" w:sz="4" w:space="0" w:color="auto"/>
            </w:tcBorders>
            <w:shd w:val="clear" w:color="auto" w:fill="ABD9F8" w:themeFill="accent1" w:themeFillTint="66"/>
            <w:vAlign w:val="bottom"/>
          </w:tcPr>
          <w:p w:rsidR="00294C4F" w:rsidRPr="00200248" w:rsidRDefault="00294C4F" w:rsidP="0085256C">
            <w:pPr>
              <w:rPr>
                <w:rFonts w:cstheme="minorHAnsi"/>
                <w:color w:val="000000"/>
                <w:sz w:val="20"/>
                <w:szCs w:val="20"/>
              </w:rPr>
            </w:pPr>
            <w:r w:rsidRPr="00200248">
              <w:rPr>
                <w:rFonts w:cstheme="minorHAnsi"/>
                <w:color w:val="000000"/>
                <w:sz w:val="20"/>
                <w:szCs w:val="20"/>
              </w:rPr>
              <w:t>Don't know</w:t>
            </w:r>
          </w:p>
        </w:tc>
        <w:tc>
          <w:tcPr>
            <w:tcW w:w="1120" w:type="dxa"/>
            <w:tcBorders>
              <w:top w:val="nil"/>
              <w:left w:val="single" w:sz="4" w:space="0" w:color="auto"/>
              <w:bottom w:val="single" w:sz="4" w:space="0" w:color="auto"/>
              <w:right w:val="single" w:sz="4" w:space="0" w:color="auto"/>
            </w:tcBorders>
            <w:shd w:val="clear" w:color="auto" w:fill="ABD9F8" w:themeFill="accent1" w:themeFillTint="66"/>
            <w:vAlign w:val="bottom"/>
          </w:tcPr>
          <w:p w:rsidR="00294C4F" w:rsidRPr="00200248" w:rsidRDefault="00294C4F" w:rsidP="0085256C">
            <w:pPr>
              <w:rPr>
                <w:rFonts w:cstheme="minorHAnsi"/>
                <w:color w:val="000000"/>
                <w:sz w:val="20"/>
                <w:szCs w:val="20"/>
              </w:rPr>
            </w:pPr>
            <w:r w:rsidRPr="00200248">
              <w:rPr>
                <w:rFonts w:cstheme="minorHAnsi"/>
                <w:color w:val="000000"/>
                <w:sz w:val="20"/>
                <w:szCs w:val="20"/>
              </w:rPr>
              <w:t>Don't know</w:t>
            </w:r>
          </w:p>
        </w:tc>
        <w:tc>
          <w:tcPr>
            <w:tcW w:w="1616" w:type="dxa"/>
            <w:tcBorders>
              <w:top w:val="nil"/>
              <w:left w:val="single" w:sz="4" w:space="0" w:color="auto"/>
              <w:bottom w:val="single" w:sz="4" w:space="0" w:color="auto"/>
              <w:right w:val="single" w:sz="4" w:space="0" w:color="auto"/>
            </w:tcBorders>
            <w:shd w:val="clear" w:color="auto" w:fill="ABD9F8" w:themeFill="accent1" w:themeFillTint="66"/>
            <w:vAlign w:val="bottom"/>
          </w:tcPr>
          <w:p w:rsidR="00294C4F" w:rsidRPr="00200248" w:rsidRDefault="00294C4F" w:rsidP="0085256C">
            <w:pPr>
              <w:rPr>
                <w:rFonts w:cstheme="minorHAnsi"/>
                <w:color w:val="000000"/>
                <w:sz w:val="20"/>
                <w:szCs w:val="20"/>
              </w:rPr>
            </w:pPr>
            <w:r w:rsidRPr="00200248">
              <w:rPr>
                <w:rFonts w:cstheme="minorHAnsi"/>
                <w:color w:val="000000"/>
                <w:sz w:val="20"/>
                <w:szCs w:val="20"/>
              </w:rPr>
              <w:t>Don't know</w:t>
            </w:r>
          </w:p>
        </w:tc>
        <w:tc>
          <w:tcPr>
            <w:tcW w:w="1308" w:type="dxa"/>
            <w:tcBorders>
              <w:top w:val="nil"/>
              <w:left w:val="single" w:sz="4" w:space="0" w:color="auto"/>
              <w:bottom w:val="single" w:sz="4" w:space="0" w:color="auto"/>
              <w:right w:val="single" w:sz="4" w:space="0" w:color="auto"/>
            </w:tcBorders>
            <w:shd w:val="clear" w:color="auto" w:fill="ABD9F8" w:themeFill="accent1" w:themeFillTint="66"/>
            <w:vAlign w:val="bottom"/>
          </w:tcPr>
          <w:p w:rsidR="00294C4F" w:rsidRPr="00200248" w:rsidRDefault="00294C4F" w:rsidP="0085256C">
            <w:pPr>
              <w:rPr>
                <w:rFonts w:cstheme="minorHAnsi"/>
                <w:color w:val="000000"/>
                <w:sz w:val="20"/>
                <w:szCs w:val="20"/>
              </w:rPr>
            </w:pPr>
            <w:r w:rsidRPr="00200248">
              <w:rPr>
                <w:rFonts w:cstheme="minorHAnsi"/>
                <w:color w:val="000000"/>
                <w:sz w:val="20"/>
                <w:szCs w:val="20"/>
              </w:rPr>
              <w:t>Don't know</w:t>
            </w:r>
          </w:p>
        </w:tc>
        <w:tc>
          <w:tcPr>
            <w:tcW w:w="1104" w:type="dxa"/>
            <w:tcBorders>
              <w:top w:val="nil"/>
              <w:left w:val="single" w:sz="4" w:space="0" w:color="auto"/>
              <w:bottom w:val="single" w:sz="4" w:space="0" w:color="auto"/>
              <w:right w:val="single" w:sz="4" w:space="0" w:color="auto"/>
            </w:tcBorders>
            <w:shd w:val="clear" w:color="auto" w:fill="ABD9F8" w:themeFill="accent1" w:themeFillTint="66"/>
            <w:vAlign w:val="bottom"/>
          </w:tcPr>
          <w:p w:rsidR="00294C4F" w:rsidRPr="00200248" w:rsidRDefault="00294C4F" w:rsidP="0085256C">
            <w:pPr>
              <w:rPr>
                <w:rFonts w:cstheme="minorHAnsi"/>
                <w:color w:val="000000"/>
                <w:sz w:val="20"/>
                <w:szCs w:val="20"/>
              </w:rPr>
            </w:pPr>
            <w:r w:rsidRPr="00200248">
              <w:rPr>
                <w:rFonts w:cstheme="minorHAnsi"/>
                <w:color w:val="000000"/>
                <w:sz w:val="20"/>
                <w:szCs w:val="20"/>
              </w:rPr>
              <w:t>Don't know</w:t>
            </w:r>
          </w:p>
        </w:tc>
        <w:tc>
          <w:tcPr>
            <w:tcW w:w="2350" w:type="dxa"/>
            <w:tcBorders>
              <w:top w:val="nil"/>
              <w:left w:val="single" w:sz="4" w:space="0" w:color="auto"/>
              <w:bottom w:val="single" w:sz="4" w:space="0" w:color="auto"/>
              <w:right w:val="single" w:sz="4" w:space="0" w:color="auto"/>
            </w:tcBorders>
            <w:shd w:val="clear" w:color="auto" w:fill="ABD9F8" w:themeFill="accent1" w:themeFillTint="66"/>
            <w:vAlign w:val="bottom"/>
          </w:tcPr>
          <w:p w:rsidR="00294C4F" w:rsidRPr="00200248" w:rsidRDefault="00294C4F" w:rsidP="0085256C">
            <w:pPr>
              <w:rPr>
                <w:rFonts w:cstheme="minorHAnsi"/>
                <w:color w:val="000000"/>
                <w:sz w:val="20"/>
                <w:szCs w:val="20"/>
              </w:rPr>
            </w:pPr>
            <w:r w:rsidRPr="00200248">
              <w:rPr>
                <w:rFonts w:cstheme="minorHAnsi"/>
                <w:color w:val="000000"/>
                <w:sz w:val="20"/>
                <w:szCs w:val="20"/>
              </w:rPr>
              <w:t>Don't know</w:t>
            </w:r>
          </w:p>
        </w:tc>
      </w:tr>
      <w:tr w:rsidR="00294C4F" w:rsidTr="0085256C">
        <w:tc>
          <w:tcPr>
            <w:tcW w:w="567" w:type="dxa"/>
            <w:vAlign w:val="center"/>
          </w:tcPr>
          <w:p w:rsidR="00294C4F" w:rsidRPr="00BC070F" w:rsidRDefault="00294C4F" w:rsidP="0085256C">
            <w:pPr>
              <w:rPr>
                <w:rFonts w:cstheme="minorHAnsi"/>
                <w:b/>
                <w:i/>
                <w:sz w:val="20"/>
                <w:szCs w:val="20"/>
              </w:rPr>
            </w:pPr>
            <w:r w:rsidRPr="00BC070F">
              <w:rPr>
                <w:rFonts w:cstheme="minorHAnsi"/>
                <w:b/>
                <w:i/>
                <w:sz w:val="20"/>
                <w:szCs w:val="20"/>
              </w:rPr>
              <w:t>19</w:t>
            </w:r>
          </w:p>
        </w:tc>
        <w:tc>
          <w:tcPr>
            <w:tcW w:w="3134" w:type="dxa"/>
            <w:tcBorders>
              <w:top w:val="nil"/>
              <w:left w:val="single" w:sz="4" w:space="0" w:color="auto"/>
              <w:bottom w:val="single" w:sz="4" w:space="0" w:color="auto"/>
              <w:right w:val="single" w:sz="4" w:space="0" w:color="auto"/>
            </w:tcBorders>
            <w:shd w:val="clear" w:color="000000" w:fill="FFFFFF"/>
            <w:vAlign w:val="bottom"/>
          </w:tcPr>
          <w:p w:rsidR="00294C4F" w:rsidRPr="00200248" w:rsidRDefault="00294C4F" w:rsidP="0085256C">
            <w:pPr>
              <w:rPr>
                <w:rFonts w:cstheme="minorHAnsi"/>
                <w:color w:val="000000"/>
                <w:sz w:val="20"/>
                <w:szCs w:val="20"/>
              </w:rPr>
            </w:pPr>
            <w:r w:rsidRPr="00200248">
              <w:rPr>
                <w:rFonts w:cstheme="minorHAnsi"/>
                <w:color w:val="000000"/>
                <w:sz w:val="20"/>
                <w:szCs w:val="20"/>
              </w:rPr>
              <w:t>Small group discussions</w:t>
            </w:r>
          </w:p>
        </w:tc>
        <w:tc>
          <w:tcPr>
            <w:tcW w:w="1120" w:type="dxa"/>
            <w:tcBorders>
              <w:top w:val="nil"/>
              <w:left w:val="single" w:sz="4" w:space="0" w:color="auto"/>
              <w:bottom w:val="single" w:sz="4" w:space="0" w:color="auto"/>
              <w:right w:val="single" w:sz="4" w:space="0" w:color="auto"/>
            </w:tcBorders>
            <w:shd w:val="clear" w:color="000000" w:fill="FFFFFF"/>
            <w:vAlign w:val="bottom"/>
          </w:tcPr>
          <w:p w:rsidR="00294C4F" w:rsidRPr="00200248" w:rsidRDefault="00294C4F" w:rsidP="0085256C">
            <w:pPr>
              <w:rPr>
                <w:rFonts w:cstheme="minorHAnsi"/>
                <w:color w:val="000000"/>
                <w:sz w:val="20"/>
                <w:szCs w:val="20"/>
              </w:rPr>
            </w:pPr>
            <w:r w:rsidRPr="00200248">
              <w:rPr>
                <w:rFonts w:cstheme="minorHAnsi"/>
                <w:color w:val="000000"/>
                <w:sz w:val="20"/>
                <w:szCs w:val="20"/>
              </w:rPr>
              <w:t>11</w:t>
            </w:r>
          </w:p>
        </w:tc>
        <w:tc>
          <w:tcPr>
            <w:tcW w:w="1616" w:type="dxa"/>
            <w:tcBorders>
              <w:top w:val="nil"/>
              <w:left w:val="single" w:sz="4" w:space="0" w:color="auto"/>
              <w:bottom w:val="single" w:sz="4" w:space="0" w:color="auto"/>
              <w:right w:val="single" w:sz="4" w:space="0" w:color="auto"/>
            </w:tcBorders>
            <w:shd w:val="clear" w:color="000000" w:fill="FFFFFF"/>
            <w:vAlign w:val="bottom"/>
          </w:tcPr>
          <w:p w:rsidR="00294C4F" w:rsidRPr="00200248" w:rsidRDefault="00294C4F" w:rsidP="0085256C">
            <w:pPr>
              <w:rPr>
                <w:rFonts w:cstheme="minorHAnsi"/>
                <w:color w:val="000000"/>
                <w:sz w:val="20"/>
                <w:szCs w:val="20"/>
              </w:rPr>
            </w:pPr>
            <w:r w:rsidRPr="00200248">
              <w:rPr>
                <w:rFonts w:cstheme="minorHAnsi"/>
                <w:color w:val="000000"/>
                <w:sz w:val="20"/>
                <w:szCs w:val="20"/>
              </w:rPr>
              <w:t>Don't know</w:t>
            </w:r>
          </w:p>
        </w:tc>
        <w:tc>
          <w:tcPr>
            <w:tcW w:w="1308" w:type="dxa"/>
            <w:tcBorders>
              <w:top w:val="nil"/>
              <w:left w:val="single" w:sz="4" w:space="0" w:color="auto"/>
              <w:bottom w:val="single" w:sz="4" w:space="0" w:color="auto"/>
              <w:right w:val="single" w:sz="4" w:space="0" w:color="auto"/>
            </w:tcBorders>
            <w:shd w:val="clear" w:color="000000" w:fill="FFFFFF"/>
            <w:vAlign w:val="bottom"/>
          </w:tcPr>
          <w:p w:rsidR="00294C4F" w:rsidRPr="00200248" w:rsidRDefault="00294C4F" w:rsidP="0085256C">
            <w:pPr>
              <w:rPr>
                <w:rFonts w:cstheme="minorHAnsi"/>
                <w:color w:val="000000"/>
                <w:sz w:val="20"/>
                <w:szCs w:val="20"/>
              </w:rPr>
            </w:pPr>
            <w:r w:rsidRPr="00200248">
              <w:rPr>
                <w:rFonts w:cstheme="minorHAnsi"/>
                <w:color w:val="000000"/>
                <w:sz w:val="20"/>
                <w:szCs w:val="20"/>
              </w:rPr>
              <w:t>Mini-public organisers</w:t>
            </w:r>
          </w:p>
        </w:tc>
        <w:tc>
          <w:tcPr>
            <w:tcW w:w="1104" w:type="dxa"/>
            <w:tcBorders>
              <w:top w:val="nil"/>
              <w:left w:val="single" w:sz="4" w:space="0" w:color="auto"/>
              <w:bottom w:val="single" w:sz="4" w:space="0" w:color="auto"/>
              <w:right w:val="single" w:sz="4" w:space="0" w:color="auto"/>
            </w:tcBorders>
            <w:shd w:val="clear" w:color="000000" w:fill="FFFFFF"/>
            <w:vAlign w:val="bottom"/>
          </w:tcPr>
          <w:p w:rsidR="00294C4F" w:rsidRPr="00200248" w:rsidRDefault="00294C4F" w:rsidP="0085256C">
            <w:pPr>
              <w:rPr>
                <w:rFonts w:cstheme="minorHAnsi"/>
                <w:color w:val="000000"/>
                <w:sz w:val="20"/>
                <w:szCs w:val="20"/>
              </w:rPr>
            </w:pPr>
            <w:r w:rsidRPr="00200248">
              <w:rPr>
                <w:rFonts w:cstheme="minorHAnsi"/>
                <w:color w:val="000000"/>
                <w:sz w:val="20"/>
                <w:szCs w:val="20"/>
              </w:rPr>
              <w:t>1</w:t>
            </w:r>
          </w:p>
        </w:tc>
        <w:tc>
          <w:tcPr>
            <w:tcW w:w="2350" w:type="dxa"/>
            <w:tcBorders>
              <w:top w:val="nil"/>
              <w:left w:val="single" w:sz="4" w:space="0" w:color="auto"/>
              <w:bottom w:val="single" w:sz="4" w:space="0" w:color="auto"/>
              <w:right w:val="single" w:sz="4" w:space="0" w:color="auto"/>
            </w:tcBorders>
            <w:shd w:val="clear" w:color="000000" w:fill="FFFFFF"/>
            <w:vAlign w:val="bottom"/>
          </w:tcPr>
          <w:p w:rsidR="00294C4F" w:rsidRPr="00200248" w:rsidRDefault="00294C4F" w:rsidP="0085256C">
            <w:pPr>
              <w:rPr>
                <w:rFonts w:cstheme="minorHAnsi"/>
                <w:color w:val="000000"/>
                <w:sz w:val="20"/>
                <w:szCs w:val="20"/>
              </w:rPr>
            </w:pPr>
            <w:r w:rsidRPr="00200248">
              <w:rPr>
                <w:rFonts w:cstheme="minorHAnsi"/>
                <w:color w:val="000000"/>
                <w:sz w:val="20"/>
                <w:szCs w:val="20"/>
              </w:rPr>
              <w:t>Don't know</w:t>
            </w:r>
          </w:p>
        </w:tc>
      </w:tr>
      <w:tr w:rsidR="00294C4F" w:rsidTr="00BC070F">
        <w:tc>
          <w:tcPr>
            <w:tcW w:w="567" w:type="dxa"/>
            <w:shd w:val="clear" w:color="auto" w:fill="ABD9F8" w:themeFill="accent1" w:themeFillTint="66"/>
            <w:vAlign w:val="center"/>
          </w:tcPr>
          <w:p w:rsidR="00294C4F" w:rsidRPr="00BC070F" w:rsidRDefault="00294C4F" w:rsidP="0085256C">
            <w:pPr>
              <w:rPr>
                <w:rFonts w:cstheme="minorHAnsi"/>
                <w:b/>
                <w:i/>
                <w:sz w:val="20"/>
                <w:szCs w:val="20"/>
              </w:rPr>
            </w:pPr>
            <w:r w:rsidRPr="00BC070F">
              <w:rPr>
                <w:rFonts w:cstheme="minorHAnsi"/>
                <w:b/>
                <w:i/>
                <w:sz w:val="20"/>
                <w:szCs w:val="20"/>
              </w:rPr>
              <w:t>20</w:t>
            </w:r>
          </w:p>
        </w:tc>
        <w:tc>
          <w:tcPr>
            <w:tcW w:w="3134" w:type="dxa"/>
            <w:tcBorders>
              <w:top w:val="nil"/>
              <w:left w:val="single" w:sz="4" w:space="0" w:color="auto"/>
              <w:bottom w:val="single" w:sz="4" w:space="0" w:color="auto"/>
              <w:right w:val="single" w:sz="4" w:space="0" w:color="auto"/>
            </w:tcBorders>
            <w:shd w:val="clear" w:color="auto" w:fill="ABD9F8" w:themeFill="accent1" w:themeFillTint="66"/>
            <w:vAlign w:val="bottom"/>
          </w:tcPr>
          <w:p w:rsidR="00294C4F" w:rsidRPr="00200248" w:rsidRDefault="00294C4F" w:rsidP="0085256C">
            <w:pPr>
              <w:rPr>
                <w:rFonts w:cstheme="minorHAnsi"/>
                <w:color w:val="000000"/>
                <w:sz w:val="20"/>
                <w:szCs w:val="20"/>
              </w:rPr>
            </w:pPr>
            <w:r w:rsidRPr="00200248">
              <w:rPr>
                <w:rFonts w:cstheme="minorHAnsi"/>
                <w:color w:val="000000"/>
                <w:sz w:val="20"/>
                <w:szCs w:val="20"/>
              </w:rPr>
              <w:t>Small group</w:t>
            </w:r>
          </w:p>
        </w:tc>
        <w:tc>
          <w:tcPr>
            <w:tcW w:w="1120" w:type="dxa"/>
            <w:tcBorders>
              <w:top w:val="nil"/>
              <w:left w:val="single" w:sz="4" w:space="0" w:color="auto"/>
              <w:bottom w:val="single" w:sz="4" w:space="0" w:color="auto"/>
              <w:right w:val="single" w:sz="4" w:space="0" w:color="auto"/>
            </w:tcBorders>
            <w:shd w:val="clear" w:color="auto" w:fill="ABD9F8" w:themeFill="accent1" w:themeFillTint="66"/>
            <w:vAlign w:val="bottom"/>
          </w:tcPr>
          <w:p w:rsidR="00294C4F" w:rsidRPr="00200248" w:rsidRDefault="00294C4F" w:rsidP="0085256C">
            <w:pPr>
              <w:rPr>
                <w:rFonts w:cstheme="minorHAnsi"/>
                <w:color w:val="000000"/>
                <w:sz w:val="20"/>
                <w:szCs w:val="20"/>
              </w:rPr>
            </w:pPr>
            <w:r w:rsidRPr="00200248">
              <w:rPr>
                <w:rFonts w:cstheme="minorHAnsi"/>
                <w:color w:val="000000"/>
                <w:sz w:val="20"/>
                <w:szCs w:val="20"/>
              </w:rPr>
              <w:t>Don't know</w:t>
            </w:r>
          </w:p>
        </w:tc>
        <w:tc>
          <w:tcPr>
            <w:tcW w:w="1616" w:type="dxa"/>
            <w:tcBorders>
              <w:top w:val="nil"/>
              <w:left w:val="single" w:sz="4" w:space="0" w:color="auto"/>
              <w:bottom w:val="single" w:sz="4" w:space="0" w:color="auto"/>
              <w:right w:val="single" w:sz="4" w:space="0" w:color="auto"/>
            </w:tcBorders>
            <w:shd w:val="clear" w:color="auto" w:fill="ABD9F8" w:themeFill="accent1" w:themeFillTint="66"/>
            <w:vAlign w:val="bottom"/>
          </w:tcPr>
          <w:p w:rsidR="00294C4F" w:rsidRPr="00200248" w:rsidRDefault="00294C4F" w:rsidP="0085256C">
            <w:pPr>
              <w:rPr>
                <w:rFonts w:cstheme="minorHAnsi"/>
                <w:color w:val="000000"/>
                <w:sz w:val="20"/>
                <w:szCs w:val="20"/>
              </w:rPr>
            </w:pPr>
            <w:r w:rsidRPr="00200248">
              <w:rPr>
                <w:rFonts w:cstheme="minorHAnsi"/>
                <w:color w:val="000000"/>
                <w:sz w:val="20"/>
                <w:szCs w:val="20"/>
              </w:rPr>
              <w:t>Facilitators</w:t>
            </w:r>
          </w:p>
        </w:tc>
        <w:tc>
          <w:tcPr>
            <w:tcW w:w="1308" w:type="dxa"/>
            <w:tcBorders>
              <w:top w:val="nil"/>
              <w:left w:val="single" w:sz="4" w:space="0" w:color="auto"/>
              <w:bottom w:val="single" w:sz="4" w:space="0" w:color="auto"/>
              <w:right w:val="single" w:sz="4" w:space="0" w:color="auto"/>
            </w:tcBorders>
            <w:shd w:val="clear" w:color="auto" w:fill="ABD9F8" w:themeFill="accent1" w:themeFillTint="66"/>
            <w:vAlign w:val="bottom"/>
          </w:tcPr>
          <w:p w:rsidR="00294C4F" w:rsidRPr="00200248" w:rsidRDefault="00294C4F" w:rsidP="0085256C">
            <w:pPr>
              <w:rPr>
                <w:rFonts w:cstheme="minorHAnsi"/>
                <w:color w:val="000000"/>
                <w:sz w:val="20"/>
                <w:szCs w:val="20"/>
              </w:rPr>
            </w:pPr>
            <w:r w:rsidRPr="00200248">
              <w:rPr>
                <w:rFonts w:cstheme="minorHAnsi"/>
                <w:color w:val="000000"/>
                <w:sz w:val="20"/>
                <w:szCs w:val="20"/>
              </w:rPr>
              <w:t>Don't know</w:t>
            </w:r>
          </w:p>
        </w:tc>
        <w:tc>
          <w:tcPr>
            <w:tcW w:w="1104" w:type="dxa"/>
            <w:tcBorders>
              <w:top w:val="nil"/>
              <w:left w:val="single" w:sz="4" w:space="0" w:color="auto"/>
              <w:bottom w:val="single" w:sz="4" w:space="0" w:color="auto"/>
              <w:right w:val="single" w:sz="4" w:space="0" w:color="auto"/>
            </w:tcBorders>
            <w:shd w:val="clear" w:color="auto" w:fill="ABD9F8" w:themeFill="accent1" w:themeFillTint="66"/>
            <w:vAlign w:val="bottom"/>
          </w:tcPr>
          <w:p w:rsidR="00294C4F" w:rsidRPr="00200248" w:rsidRDefault="00294C4F" w:rsidP="0085256C">
            <w:pPr>
              <w:rPr>
                <w:rFonts w:cstheme="minorHAnsi"/>
                <w:color w:val="000000"/>
                <w:sz w:val="20"/>
                <w:szCs w:val="20"/>
              </w:rPr>
            </w:pPr>
            <w:r w:rsidRPr="00200248">
              <w:rPr>
                <w:rFonts w:cstheme="minorHAnsi"/>
                <w:color w:val="000000"/>
                <w:sz w:val="20"/>
                <w:szCs w:val="20"/>
              </w:rPr>
              <w:t>Don't know</w:t>
            </w:r>
          </w:p>
        </w:tc>
        <w:tc>
          <w:tcPr>
            <w:tcW w:w="2350" w:type="dxa"/>
            <w:tcBorders>
              <w:top w:val="nil"/>
              <w:left w:val="single" w:sz="4" w:space="0" w:color="auto"/>
              <w:bottom w:val="single" w:sz="4" w:space="0" w:color="auto"/>
              <w:right w:val="single" w:sz="4" w:space="0" w:color="auto"/>
            </w:tcBorders>
            <w:shd w:val="clear" w:color="auto" w:fill="ABD9F8" w:themeFill="accent1" w:themeFillTint="66"/>
            <w:vAlign w:val="bottom"/>
          </w:tcPr>
          <w:p w:rsidR="00294C4F" w:rsidRPr="00200248" w:rsidRDefault="00294C4F" w:rsidP="0085256C">
            <w:pPr>
              <w:rPr>
                <w:rFonts w:cstheme="minorHAnsi"/>
                <w:color w:val="000000"/>
                <w:sz w:val="20"/>
                <w:szCs w:val="20"/>
              </w:rPr>
            </w:pPr>
            <w:r w:rsidRPr="00200248">
              <w:rPr>
                <w:rFonts w:cstheme="minorHAnsi"/>
                <w:color w:val="000000"/>
                <w:sz w:val="20"/>
                <w:szCs w:val="20"/>
              </w:rPr>
              <w:t>Don't know</w:t>
            </w:r>
          </w:p>
        </w:tc>
      </w:tr>
      <w:tr w:rsidR="00294C4F" w:rsidTr="0085256C">
        <w:tc>
          <w:tcPr>
            <w:tcW w:w="567" w:type="dxa"/>
            <w:vAlign w:val="center"/>
          </w:tcPr>
          <w:p w:rsidR="00294C4F" w:rsidRPr="00BC070F" w:rsidRDefault="00294C4F" w:rsidP="0085256C">
            <w:pPr>
              <w:rPr>
                <w:rFonts w:cstheme="minorHAnsi"/>
                <w:b/>
                <w:i/>
                <w:sz w:val="20"/>
                <w:szCs w:val="20"/>
              </w:rPr>
            </w:pPr>
            <w:r w:rsidRPr="00BC070F">
              <w:rPr>
                <w:rFonts w:cstheme="minorHAnsi"/>
                <w:b/>
                <w:i/>
                <w:sz w:val="20"/>
                <w:szCs w:val="20"/>
              </w:rPr>
              <w:t>21</w:t>
            </w:r>
          </w:p>
        </w:tc>
        <w:tc>
          <w:tcPr>
            <w:tcW w:w="3134" w:type="dxa"/>
            <w:tcBorders>
              <w:top w:val="nil"/>
              <w:left w:val="single" w:sz="4" w:space="0" w:color="auto"/>
              <w:bottom w:val="single" w:sz="4" w:space="0" w:color="auto"/>
              <w:right w:val="single" w:sz="4" w:space="0" w:color="auto"/>
            </w:tcBorders>
            <w:shd w:val="clear" w:color="000000" w:fill="FFFFFF"/>
            <w:vAlign w:val="bottom"/>
          </w:tcPr>
          <w:p w:rsidR="00294C4F" w:rsidRPr="00200248" w:rsidRDefault="00294C4F" w:rsidP="0085256C">
            <w:pPr>
              <w:rPr>
                <w:rFonts w:cstheme="minorHAnsi"/>
                <w:color w:val="000000"/>
                <w:sz w:val="20"/>
                <w:szCs w:val="20"/>
              </w:rPr>
            </w:pPr>
            <w:r w:rsidRPr="00200248">
              <w:rPr>
                <w:rFonts w:cstheme="minorHAnsi"/>
                <w:color w:val="000000"/>
                <w:sz w:val="20"/>
                <w:szCs w:val="20"/>
              </w:rPr>
              <w:t>Small group discussions</w:t>
            </w:r>
          </w:p>
        </w:tc>
        <w:tc>
          <w:tcPr>
            <w:tcW w:w="1120" w:type="dxa"/>
            <w:tcBorders>
              <w:top w:val="nil"/>
              <w:left w:val="single" w:sz="4" w:space="0" w:color="auto"/>
              <w:bottom w:val="single" w:sz="4" w:space="0" w:color="auto"/>
              <w:right w:val="single" w:sz="4" w:space="0" w:color="auto"/>
            </w:tcBorders>
            <w:shd w:val="clear" w:color="auto" w:fill="auto"/>
            <w:vAlign w:val="bottom"/>
          </w:tcPr>
          <w:p w:rsidR="00294C4F" w:rsidRPr="00200248" w:rsidRDefault="00294C4F" w:rsidP="0085256C">
            <w:pPr>
              <w:rPr>
                <w:rFonts w:cstheme="minorHAnsi"/>
                <w:color w:val="000000"/>
                <w:sz w:val="20"/>
                <w:szCs w:val="20"/>
              </w:rPr>
            </w:pPr>
            <w:r w:rsidRPr="00200248">
              <w:rPr>
                <w:rFonts w:cstheme="minorHAnsi"/>
                <w:color w:val="000000"/>
                <w:sz w:val="20"/>
                <w:szCs w:val="20"/>
              </w:rPr>
              <w:t>Don't know</w:t>
            </w:r>
          </w:p>
        </w:tc>
        <w:tc>
          <w:tcPr>
            <w:tcW w:w="1616" w:type="dxa"/>
            <w:tcBorders>
              <w:top w:val="nil"/>
              <w:left w:val="single" w:sz="4" w:space="0" w:color="auto"/>
              <w:bottom w:val="single" w:sz="4" w:space="0" w:color="auto"/>
              <w:right w:val="single" w:sz="4" w:space="0" w:color="auto"/>
            </w:tcBorders>
            <w:shd w:val="clear" w:color="000000" w:fill="FFFFFF"/>
            <w:vAlign w:val="bottom"/>
          </w:tcPr>
          <w:p w:rsidR="00294C4F" w:rsidRPr="00200248" w:rsidRDefault="00294C4F" w:rsidP="0085256C">
            <w:pPr>
              <w:rPr>
                <w:rFonts w:cstheme="minorHAnsi"/>
                <w:color w:val="000000"/>
                <w:sz w:val="20"/>
                <w:szCs w:val="20"/>
              </w:rPr>
            </w:pPr>
            <w:r w:rsidRPr="00200248">
              <w:rPr>
                <w:rFonts w:cstheme="minorHAnsi"/>
                <w:color w:val="000000"/>
                <w:sz w:val="20"/>
                <w:szCs w:val="20"/>
              </w:rPr>
              <w:t>Don't know</w:t>
            </w:r>
          </w:p>
        </w:tc>
        <w:tc>
          <w:tcPr>
            <w:tcW w:w="1308" w:type="dxa"/>
            <w:tcBorders>
              <w:top w:val="nil"/>
              <w:left w:val="single" w:sz="4" w:space="0" w:color="auto"/>
              <w:bottom w:val="single" w:sz="4" w:space="0" w:color="auto"/>
              <w:right w:val="single" w:sz="4" w:space="0" w:color="auto"/>
            </w:tcBorders>
            <w:shd w:val="clear" w:color="000000" w:fill="FFFFFF"/>
            <w:vAlign w:val="bottom"/>
          </w:tcPr>
          <w:p w:rsidR="00294C4F" w:rsidRPr="00200248" w:rsidRDefault="00294C4F" w:rsidP="0085256C">
            <w:pPr>
              <w:rPr>
                <w:rFonts w:cstheme="minorHAnsi"/>
                <w:color w:val="000000"/>
                <w:sz w:val="20"/>
                <w:szCs w:val="20"/>
              </w:rPr>
            </w:pPr>
            <w:r w:rsidRPr="00200248">
              <w:rPr>
                <w:rFonts w:cstheme="minorHAnsi"/>
                <w:color w:val="000000"/>
                <w:sz w:val="20"/>
                <w:szCs w:val="20"/>
              </w:rPr>
              <w:t>Don't know</w:t>
            </w:r>
          </w:p>
        </w:tc>
        <w:tc>
          <w:tcPr>
            <w:tcW w:w="1104" w:type="dxa"/>
            <w:tcBorders>
              <w:top w:val="nil"/>
              <w:left w:val="single" w:sz="4" w:space="0" w:color="auto"/>
              <w:bottom w:val="single" w:sz="4" w:space="0" w:color="auto"/>
              <w:right w:val="single" w:sz="4" w:space="0" w:color="auto"/>
            </w:tcBorders>
            <w:shd w:val="clear" w:color="000000" w:fill="FFFFFF"/>
            <w:vAlign w:val="bottom"/>
          </w:tcPr>
          <w:p w:rsidR="00294C4F" w:rsidRPr="00200248" w:rsidRDefault="00294C4F" w:rsidP="0085256C">
            <w:pPr>
              <w:rPr>
                <w:rFonts w:cstheme="minorHAnsi"/>
                <w:color w:val="000000"/>
                <w:sz w:val="20"/>
                <w:szCs w:val="20"/>
              </w:rPr>
            </w:pPr>
            <w:r w:rsidRPr="00200248">
              <w:rPr>
                <w:rFonts w:cstheme="minorHAnsi"/>
                <w:color w:val="000000"/>
                <w:sz w:val="20"/>
                <w:szCs w:val="20"/>
              </w:rPr>
              <w:t>Don't know</w:t>
            </w:r>
          </w:p>
        </w:tc>
        <w:tc>
          <w:tcPr>
            <w:tcW w:w="2350" w:type="dxa"/>
            <w:tcBorders>
              <w:top w:val="nil"/>
              <w:left w:val="single" w:sz="4" w:space="0" w:color="auto"/>
              <w:bottom w:val="single" w:sz="4" w:space="0" w:color="auto"/>
              <w:right w:val="single" w:sz="4" w:space="0" w:color="auto"/>
            </w:tcBorders>
            <w:shd w:val="clear" w:color="000000" w:fill="FFFFFF"/>
            <w:vAlign w:val="bottom"/>
          </w:tcPr>
          <w:p w:rsidR="00294C4F" w:rsidRPr="00200248" w:rsidRDefault="00294C4F" w:rsidP="0085256C">
            <w:pPr>
              <w:rPr>
                <w:rFonts w:cstheme="minorHAnsi"/>
                <w:color w:val="000000"/>
                <w:sz w:val="20"/>
                <w:szCs w:val="20"/>
              </w:rPr>
            </w:pPr>
            <w:r w:rsidRPr="00200248">
              <w:rPr>
                <w:rFonts w:cstheme="minorHAnsi"/>
                <w:color w:val="000000"/>
                <w:sz w:val="20"/>
                <w:szCs w:val="20"/>
              </w:rPr>
              <w:t>Don't know</w:t>
            </w:r>
          </w:p>
        </w:tc>
      </w:tr>
      <w:tr w:rsidR="00294C4F" w:rsidTr="00BC070F">
        <w:tc>
          <w:tcPr>
            <w:tcW w:w="567" w:type="dxa"/>
            <w:shd w:val="clear" w:color="auto" w:fill="ABD9F8" w:themeFill="accent1" w:themeFillTint="66"/>
            <w:vAlign w:val="center"/>
          </w:tcPr>
          <w:p w:rsidR="00294C4F" w:rsidRPr="00BC070F" w:rsidRDefault="00294C4F" w:rsidP="0085256C">
            <w:pPr>
              <w:rPr>
                <w:rFonts w:cstheme="minorHAnsi"/>
                <w:b/>
                <w:i/>
                <w:sz w:val="20"/>
                <w:szCs w:val="20"/>
              </w:rPr>
            </w:pPr>
            <w:r w:rsidRPr="00BC070F">
              <w:rPr>
                <w:rFonts w:cstheme="minorHAnsi"/>
                <w:b/>
                <w:i/>
                <w:sz w:val="20"/>
                <w:szCs w:val="20"/>
              </w:rPr>
              <w:t>22</w:t>
            </w:r>
          </w:p>
        </w:tc>
        <w:tc>
          <w:tcPr>
            <w:tcW w:w="3134" w:type="dxa"/>
            <w:tcBorders>
              <w:top w:val="nil"/>
              <w:left w:val="single" w:sz="4" w:space="0" w:color="auto"/>
              <w:bottom w:val="single" w:sz="4" w:space="0" w:color="auto"/>
              <w:right w:val="single" w:sz="4" w:space="0" w:color="auto"/>
            </w:tcBorders>
            <w:shd w:val="clear" w:color="auto" w:fill="ABD9F8" w:themeFill="accent1" w:themeFillTint="66"/>
            <w:vAlign w:val="bottom"/>
          </w:tcPr>
          <w:p w:rsidR="00294C4F" w:rsidRPr="00200248" w:rsidRDefault="00294C4F" w:rsidP="0085256C">
            <w:pPr>
              <w:rPr>
                <w:rFonts w:cstheme="minorHAnsi"/>
                <w:color w:val="000000"/>
                <w:sz w:val="20"/>
                <w:szCs w:val="20"/>
              </w:rPr>
            </w:pPr>
            <w:r w:rsidRPr="00200248">
              <w:rPr>
                <w:rFonts w:cstheme="minorHAnsi"/>
                <w:color w:val="000000"/>
                <w:sz w:val="20"/>
                <w:szCs w:val="20"/>
              </w:rPr>
              <w:t>Don't know</w:t>
            </w:r>
          </w:p>
        </w:tc>
        <w:tc>
          <w:tcPr>
            <w:tcW w:w="1120" w:type="dxa"/>
            <w:tcBorders>
              <w:top w:val="nil"/>
              <w:left w:val="single" w:sz="4" w:space="0" w:color="auto"/>
              <w:bottom w:val="single" w:sz="4" w:space="0" w:color="auto"/>
              <w:right w:val="single" w:sz="4" w:space="0" w:color="auto"/>
            </w:tcBorders>
            <w:shd w:val="clear" w:color="auto" w:fill="ABD9F8" w:themeFill="accent1" w:themeFillTint="66"/>
            <w:vAlign w:val="bottom"/>
          </w:tcPr>
          <w:p w:rsidR="00294C4F" w:rsidRPr="00200248" w:rsidRDefault="00294C4F" w:rsidP="0085256C">
            <w:pPr>
              <w:rPr>
                <w:rFonts w:cstheme="minorHAnsi"/>
                <w:color w:val="000000"/>
                <w:sz w:val="20"/>
                <w:szCs w:val="20"/>
              </w:rPr>
            </w:pPr>
            <w:r w:rsidRPr="00200248">
              <w:rPr>
                <w:rFonts w:cstheme="minorHAnsi"/>
                <w:color w:val="000000"/>
                <w:sz w:val="20"/>
                <w:szCs w:val="20"/>
              </w:rPr>
              <w:t>15</w:t>
            </w:r>
          </w:p>
        </w:tc>
        <w:tc>
          <w:tcPr>
            <w:tcW w:w="1616" w:type="dxa"/>
            <w:tcBorders>
              <w:top w:val="nil"/>
              <w:left w:val="single" w:sz="4" w:space="0" w:color="auto"/>
              <w:bottom w:val="single" w:sz="4" w:space="0" w:color="auto"/>
              <w:right w:val="single" w:sz="4" w:space="0" w:color="auto"/>
            </w:tcBorders>
            <w:shd w:val="clear" w:color="auto" w:fill="ABD9F8" w:themeFill="accent1" w:themeFillTint="66"/>
            <w:vAlign w:val="bottom"/>
          </w:tcPr>
          <w:p w:rsidR="00294C4F" w:rsidRPr="00200248" w:rsidRDefault="00294C4F" w:rsidP="0085256C">
            <w:pPr>
              <w:rPr>
                <w:rFonts w:cstheme="minorHAnsi"/>
                <w:color w:val="000000"/>
                <w:sz w:val="20"/>
                <w:szCs w:val="20"/>
              </w:rPr>
            </w:pPr>
            <w:r w:rsidRPr="00200248">
              <w:rPr>
                <w:rFonts w:cstheme="minorHAnsi"/>
                <w:color w:val="000000"/>
                <w:sz w:val="20"/>
                <w:szCs w:val="20"/>
              </w:rPr>
              <w:t>Don't know</w:t>
            </w:r>
          </w:p>
        </w:tc>
        <w:tc>
          <w:tcPr>
            <w:tcW w:w="1308" w:type="dxa"/>
            <w:tcBorders>
              <w:top w:val="nil"/>
              <w:left w:val="single" w:sz="4" w:space="0" w:color="auto"/>
              <w:bottom w:val="single" w:sz="4" w:space="0" w:color="auto"/>
              <w:right w:val="single" w:sz="4" w:space="0" w:color="auto"/>
            </w:tcBorders>
            <w:shd w:val="clear" w:color="auto" w:fill="ABD9F8" w:themeFill="accent1" w:themeFillTint="66"/>
            <w:vAlign w:val="bottom"/>
          </w:tcPr>
          <w:p w:rsidR="00294C4F" w:rsidRPr="00200248" w:rsidRDefault="00294C4F" w:rsidP="0085256C">
            <w:pPr>
              <w:rPr>
                <w:rFonts w:cstheme="minorHAnsi"/>
                <w:color w:val="000000"/>
                <w:sz w:val="20"/>
                <w:szCs w:val="20"/>
              </w:rPr>
            </w:pPr>
            <w:r w:rsidRPr="00200248">
              <w:rPr>
                <w:rFonts w:cstheme="minorHAnsi"/>
                <w:color w:val="000000"/>
                <w:sz w:val="20"/>
                <w:szCs w:val="20"/>
              </w:rPr>
              <w:t>Don't know</w:t>
            </w:r>
          </w:p>
        </w:tc>
        <w:tc>
          <w:tcPr>
            <w:tcW w:w="1104" w:type="dxa"/>
            <w:tcBorders>
              <w:top w:val="nil"/>
              <w:left w:val="single" w:sz="4" w:space="0" w:color="auto"/>
              <w:bottom w:val="single" w:sz="4" w:space="0" w:color="auto"/>
              <w:right w:val="single" w:sz="4" w:space="0" w:color="auto"/>
            </w:tcBorders>
            <w:shd w:val="clear" w:color="auto" w:fill="ABD9F8" w:themeFill="accent1" w:themeFillTint="66"/>
            <w:vAlign w:val="bottom"/>
          </w:tcPr>
          <w:p w:rsidR="00294C4F" w:rsidRPr="00200248" w:rsidRDefault="00294C4F" w:rsidP="0085256C">
            <w:pPr>
              <w:rPr>
                <w:rFonts w:cstheme="minorHAnsi"/>
                <w:color w:val="000000"/>
                <w:sz w:val="20"/>
                <w:szCs w:val="20"/>
              </w:rPr>
            </w:pPr>
            <w:r w:rsidRPr="00200248">
              <w:rPr>
                <w:rFonts w:cstheme="minorHAnsi"/>
                <w:color w:val="000000"/>
                <w:sz w:val="20"/>
                <w:szCs w:val="20"/>
              </w:rPr>
              <w:t>Don't know</w:t>
            </w:r>
          </w:p>
        </w:tc>
        <w:tc>
          <w:tcPr>
            <w:tcW w:w="2350" w:type="dxa"/>
            <w:tcBorders>
              <w:top w:val="nil"/>
              <w:left w:val="single" w:sz="4" w:space="0" w:color="auto"/>
              <w:bottom w:val="single" w:sz="4" w:space="0" w:color="auto"/>
              <w:right w:val="single" w:sz="4" w:space="0" w:color="auto"/>
            </w:tcBorders>
            <w:shd w:val="clear" w:color="auto" w:fill="ABD9F8" w:themeFill="accent1" w:themeFillTint="66"/>
            <w:vAlign w:val="bottom"/>
          </w:tcPr>
          <w:p w:rsidR="00294C4F" w:rsidRPr="00200248" w:rsidRDefault="00294C4F" w:rsidP="0085256C">
            <w:pPr>
              <w:rPr>
                <w:rFonts w:cstheme="minorHAnsi"/>
                <w:color w:val="000000"/>
                <w:sz w:val="20"/>
                <w:szCs w:val="20"/>
              </w:rPr>
            </w:pPr>
            <w:r w:rsidRPr="00200248">
              <w:rPr>
                <w:rFonts w:cstheme="minorHAnsi"/>
                <w:color w:val="000000"/>
                <w:sz w:val="20"/>
                <w:szCs w:val="20"/>
              </w:rPr>
              <w:t>Don't know</w:t>
            </w:r>
          </w:p>
        </w:tc>
      </w:tr>
      <w:tr w:rsidR="00294C4F" w:rsidTr="0085256C">
        <w:tc>
          <w:tcPr>
            <w:tcW w:w="567" w:type="dxa"/>
            <w:vAlign w:val="center"/>
          </w:tcPr>
          <w:p w:rsidR="00294C4F" w:rsidRPr="00BC070F" w:rsidRDefault="00294C4F" w:rsidP="0085256C">
            <w:pPr>
              <w:rPr>
                <w:rFonts w:cstheme="minorHAnsi"/>
                <w:b/>
                <w:i/>
                <w:sz w:val="20"/>
                <w:szCs w:val="20"/>
              </w:rPr>
            </w:pPr>
            <w:r w:rsidRPr="00BC070F">
              <w:rPr>
                <w:rFonts w:cstheme="minorHAnsi"/>
                <w:b/>
                <w:i/>
                <w:sz w:val="20"/>
                <w:szCs w:val="20"/>
              </w:rPr>
              <w:t>23</w:t>
            </w:r>
          </w:p>
        </w:tc>
        <w:tc>
          <w:tcPr>
            <w:tcW w:w="3134" w:type="dxa"/>
            <w:tcBorders>
              <w:top w:val="nil"/>
              <w:left w:val="single" w:sz="4" w:space="0" w:color="auto"/>
              <w:bottom w:val="single" w:sz="4" w:space="0" w:color="auto"/>
              <w:right w:val="single" w:sz="4" w:space="0" w:color="auto"/>
            </w:tcBorders>
            <w:shd w:val="clear" w:color="auto" w:fill="auto"/>
            <w:vAlign w:val="bottom"/>
          </w:tcPr>
          <w:p w:rsidR="00294C4F" w:rsidRPr="00200248" w:rsidRDefault="00294C4F" w:rsidP="0085256C">
            <w:pPr>
              <w:rPr>
                <w:rFonts w:cstheme="minorHAnsi"/>
                <w:color w:val="000000"/>
                <w:sz w:val="20"/>
                <w:szCs w:val="20"/>
              </w:rPr>
            </w:pPr>
            <w:r w:rsidRPr="00200248">
              <w:rPr>
                <w:rFonts w:cstheme="minorHAnsi"/>
                <w:color w:val="000000"/>
                <w:sz w:val="20"/>
                <w:szCs w:val="20"/>
              </w:rPr>
              <w:t>Don't know</w:t>
            </w:r>
          </w:p>
        </w:tc>
        <w:tc>
          <w:tcPr>
            <w:tcW w:w="1120" w:type="dxa"/>
            <w:tcBorders>
              <w:top w:val="nil"/>
              <w:left w:val="single" w:sz="4" w:space="0" w:color="auto"/>
              <w:bottom w:val="single" w:sz="4" w:space="0" w:color="auto"/>
              <w:right w:val="single" w:sz="4" w:space="0" w:color="auto"/>
            </w:tcBorders>
            <w:shd w:val="clear" w:color="auto" w:fill="auto"/>
            <w:vAlign w:val="bottom"/>
          </w:tcPr>
          <w:p w:rsidR="00294C4F" w:rsidRPr="00200248" w:rsidRDefault="00294C4F" w:rsidP="0085256C">
            <w:pPr>
              <w:rPr>
                <w:rFonts w:cstheme="minorHAnsi"/>
                <w:color w:val="000000"/>
                <w:sz w:val="20"/>
                <w:szCs w:val="20"/>
              </w:rPr>
            </w:pPr>
            <w:r w:rsidRPr="00200248">
              <w:rPr>
                <w:rFonts w:cstheme="minorHAnsi"/>
                <w:color w:val="000000"/>
                <w:sz w:val="20"/>
                <w:szCs w:val="20"/>
              </w:rPr>
              <w:t>Don't know</w:t>
            </w:r>
          </w:p>
        </w:tc>
        <w:tc>
          <w:tcPr>
            <w:tcW w:w="1616" w:type="dxa"/>
            <w:tcBorders>
              <w:top w:val="nil"/>
              <w:left w:val="single" w:sz="4" w:space="0" w:color="auto"/>
              <w:bottom w:val="single" w:sz="4" w:space="0" w:color="auto"/>
              <w:right w:val="single" w:sz="4" w:space="0" w:color="auto"/>
            </w:tcBorders>
            <w:shd w:val="clear" w:color="auto" w:fill="auto"/>
            <w:vAlign w:val="bottom"/>
          </w:tcPr>
          <w:p w:rsidR="00294C4F" w:rsidRPr="00200248" w:rsidRDefault="00294C4F" w:rsidP="0085256C">
            <w:pPr>
              <w:rPr>
                <w:rFonts w:cstheme="minorHAnsi"/>
                <w:color w:val="000000"/>
                <w:sz w:val="20"/>
                <w:szCs w:val="20"/>
              </w:rPr>
            </w:pPr>
            <w:r w:rsidRPr="00200248">
              <w:rPr>
                <w:rFonts w:cstheme="minorHAnsi"/>
                <w:color w:val="000000"/>
                <w:sz w:val="20"/>
                <w:szCs w:val="20"/>
              </w:rPr>
              <w:t>Don't know</w:t>
            </w:r>
          </w:p>
        </w:tc>
        <w:tc>
          <w:tcPr>
            <w:tcW w:w="1308" w:type="dxa"/>
            <w:tcBorders>
              <w:top w:val="nil"/>
              <w:left w:val="single" w:sz="4" w:space="0" w:color="auto"/>
              <w:bottom w:val="single" w:sz="4" w:space="0" w:color="auto"/>
              <w:right w:val="single" w:sz="4" w:space="0" w:color="auto"/>
            </w:tcBorders>
            <w:shd w:val="clear" w:color="auto" w:fill="auto"/>
            <w:vAlign w:val="bottom"/>
          </w:tcPr>
          <w:p w:rsidR="00294C4F" w:rsidRPr="00200248" w:rsidRDefault="00294C4F" w:rsidP="0085256C">
            <w:pPr>
              <w:rPr>
                <w:rFonts w:cstheme="minorHAnsi"/>
                <w:color w:val="000000"/>
                <w:sz w:val="20"/>
                <w:szCs w:val="20"/>
              </w:rPr>
            </w:pPr>
            <w:r w:rsidRPr="00200248">
              <w:rPr>
                <w:rFonts w:cstheme="minorHAnsi"/>
                <w:color w:val="000000"/>
                <w:sz w:val="20"/>
                <w:szCs w:val="20"/>
              </w:rPr>
              <w:t>Don't know</w:t>
            </w:r>
          </w:p>
        </w:tc>
        <w:tc>
          <w:tcPr>
            <w:tcW w:w="1104" w:type="dxa"/>
            <w:tcBorders>
              <w:top w:val="nil"/>
              <w:left w:val="single" w:sz="4" w:space="0" w:color="auto"/>
              <w:bottom w:val="single" w:sz="4" w:space="0" w:color="auto"/>
              <w:right w:val="single" w:sz="4" w:space="0" w:color="auto"/>
            </w:tcBorders>
            <w:shd w:val="clear" w:color="auto" w:fill="auto"/>
            <w:vAlign w:val="bottom"/>
          </w:tcPr>
          <w:p w:rsidR="00294C4F" w:rsidRPr="00200248" w:rsidRDefault="00294C4F" w:rsidP="0085256C">
            <w:pPr>
              <w:rPr>
                <w:rFonts w:cstheme="minorHAnsi"/>
                <w:color w:val="000000"/>
                <w:sz w:val="20"/>
                <w:szCs w:val="20"/>
              </w:rPr>
            </w:pPr>
            <w:r w:rsidRPr="00200248">
              <w:rPr>
                <w:rFonts w:cstheme="minorHAnsi"/>
                <w:color w:val="000000"/>
                <w:sz w:val="20"/>
                <w:szCs w:val="20"/>
              </w:rPr>
              <w:t>Don't know</w:t>
            </w:r>
          </w:p>
        </w:tc>
        <w:tc>
          <w:tcPr>
            <w:tcW w:w="2350" w:type="dxa"/>
            <w:tcBorders>
              <w:top w:val="nil"/>
              <w:left w:val="single" w:sz="4" w:space="0" w:color="auto"/>
              <w:bottom w:val="single" w:sz="4" w:space="0" w:color="auto"/>
              <w:right w:val="single" w:sz="4" w:space="0" w:color="auto"/>
            </w:tcBorders>
            <w:shd w:val="clear" w:color="auto" w:fill="auto"/>
            <w:vAlign w:val="bottom"/>
          </w:tcPr>
          <w:p w:rsidR="00294C4F" w:rsidRPr="00200248" w:rsidRDefault="00294C4F" w:rsidP="0085256C">
            <w:pPr>
              <w:rPr>
                <w:rFonts w:cstheme="minorHAnsi"/>
                <w:color w:val="000000"/>
                <w:sz w:val="20"/>
                <w:szCs w:val="20"/>
              </w:rPr>
            </w:pPr>
            <w:r w:rsidRPr="00200248">
              <w:rPr>
                <w:rFonts w:cstheme="minorHAnsi"/>
                <w:color w:val="000000"/>
                <w:sz w:val="20"/>
                <w:szCs w:val="20"/>
              </w:rPr>
              <w:t>Don't know</w:t>
            </w:r>
          </w:p>
        </w:tc>
      </w:tr>
    </w:tbl>
    <w:p w:rsidR="00AF399C" w:rsidRPr="00AF399C" w:rsidRDefault="00AF399C" w:rsidP="00AF399C">
      <w:pPr>
        <w:jc w:val="both"/>
        <w:rPr>
          <w:sz w:val="24"/>
          <w:szCs w:val="24"/>
          <w:lang w:val="it-IT"/>
        </w:rPr>
      </w:pPr>
    </w:p>
    <w:p w:rsidR="00AF399C" w:rsidRPr="00D943A4" w:rsidRDefault="00AF399C" w:rsidP="00AF399C">
      <w:pPr>
        <w:numPr>
          <w:ilvl w:val="0"/>
          <w:numId w:val="10"/>
        </w:numPr>
        <w:jc w:val="both"/>
        <w:rPr>
          <w:b/>
          <w:i/>
          <w:color w:val="0B5484" w:themeColor="accent1" w:themeShade="80"/>
          <w:sz w:val="24"/>
          <w:szCs w:val="24"/>
          <w:lang w:val="it-IT"/>
        </w:rPr>
      </w:pPr>
      <w:r w:rsidRPr="00D943A4">
        <w:rPr>
          <w:b/>
          <w:i/>
          <w:color w:val="0B5484" w:themeColor="accent1" w:themeShade="80"/>
          <w:sz w:val="24"/>
          <w:szCs w:val="24"/>
        </w:rPr>
        <w:t xml:space="preserve">Are there any trends across the cases in each country that suggest some </w:t>
      </w:r>
      <w:r w:rsidRPr="00D943A4">
        <w:rPr>
          <w:b/>
          <w:i/>
          <w:color w:val="0B5484" w:themeColor="accent1" w:themeShade="80"/>
          <w:sz w:val="24"/>
          <w:szCs w:val="24"/>
          <w:lang w:val="it-IT"/>
        </w:rPr>
        <w:t>types of expert, methods of expert recruitment, and the methods of presentation of evidence influences the liklihood a mini-public will influence policy and practice?</w:t>
      </w:r>
    </w:p>
    <w:p w:rsidR="00AF399C" w:rsidRDefault="0010523C" w:rsidP="00AF399C">
      <w:pPr>
        <w:jc w:val="both"/>
        <w:rPr>
          <w:sz w:val="24"/>
          <w:szCs w:val="24"/>
          <w:lang w:val="it-IT"/>
        </w:rPr>
      </w:pPr>
      <w:r>
        <w:rPr>
          <w:sz w:val="24"/>
          <w:szCs w:val="24"/>
          <w:lang w:val="it-IT"/>
        </w:rPr>
        <w:t>T</w:t>
      </w:r>
      <w:r w:rsidR="00AF399C" w:rsidRPr="00AF399C">
        <w:rPr>
          <w:sz w:val="24"/>
          <w:szCs w:val="24"/>
          <w:lang w:val="it-IT"/>
        </w:rPr>
        <w:t>here is a trend toward recomendations to express a will for better democratisation of the process, and more information available to citizens outside of the mini</w:t>
      </w:r>
      <w:r w:rsidR="00FD592E">
        <w:rPr>
          <w:sz w:val="24"/>
          <w:szCs w:val="24"/>
          <w:lang w:val="it-IT"/>
        </w:rPr>
        <w:t>-</w:t>
      </w:r>
      <w:r w:rsidR="00AF399C" w:rsidRPr="00AF399C">
        <w:rPr>
          <w:sz w:val="24"/>
          <w:szCs w:val="24"/>
          <w:lang w:val="it-IT"/>
        </w:rPr>
        <w:t>public. Possibly due to the range of views heard by citizens, and the dominant type of experts selected (those from G</w:t>
      </w:r>
      <w:r w:rsidR="00FD592E">
        <w:rPr>
          <w:sz w:val="24"/>
          <w:szCs w:val="24"/>
          <w:lang w:val="it-IT"/>
        </w:rPr>
        <w:t xml:space="preserve">overnment </w:t>
      </w:r>
      <w:r w:rsidR="00AF399C" w:rsidRPr="00AF399C">
        <w:rPr>
          <w:sz w:val="24"/>
          <w:szCs w:val="24"/>
          <w:lang w:val="it-IT"/>
        </w:rPr>
        <w:t>O</w:t>
      </w:r>
      <w:r w:rsidR="00FD592E">
        <w:rPr>
          <w:sz w:val="24"/>
          <w:szCs w:val="24"/>
          <w:lang w:val="it-IT"/>
        </w:rPr>
        <w:t>rganisation</w:t>
      </w:r>
      <w:r w:rsidR="00AF399C" w:rsidRPr="00AF399C">
        <w:rPr>
          <w:sz w:val="24"/>
          <w:szCs w:val="24"/>
          <w:lang w:val="it-IT"/>
        </w:rPr>
        <w:t xml:space="preserve">s and civic groups that advocate for change), the citizens’ report from the consensus conference focused their reconmendations on legislation, accountibility, and access to information </w:t>
      </w:r>
      <w:r w:rsidR="00AF399C" w:rsidRPr="00AF399C">
        <w:rPr>
          <w:sz w:val="24"/>
          <w:szCs w:val="24"/>
          <w:lang w:val="it-IT"/>
        </w:rPr>
        <w:fldChar w:fldCharType="begin" w:fldLock="1"/>
      </w:r>
      <w:r w:rsidR="00AF399C" w:rsidRPr="00AF399C">
        <w:rPr>
          <w:sz w:val="24"/>
          <w:szCs w:val="24"/>
          <w:lang w:val="it-IT"/>
        </w:rPr>
        <w:instrText>ADDIN CSL_CITATION { "citationItems" : [ { "id" : "ITEM-1", "itemData" : { "author" : [ { "dropping-particle" : "", "family" : "Joss", "given" : "Simon", "non-dropping-particle" : "", "parse-names" : false, "suffix" : "" }, { "dropping-particle" : "", "family" : "Kl\u00fcver", "given" : "Lars", "non-dropping-particle" : "", "parse-names" : false, "suffix" : "" } ], "id" : "ITEM-1", "issued" : { "date-parts" : [ [ "2001" ] ] }, "number-of-pages" : "1-92", "title" : "The Denmark National Report: Assessing Debate and Participative Technology Assessment (ADAPTA) .", "type" : "report" }, "locator" : "51-52", "uris" : [ "http://www.mendeley.com/documents/?uuid=3144039f-1601-4cc4-8972-008248a8ceca" ] } ], "mendeley" : { "formattedCitation" : "(Joss &amp; Kl\u00fcver 2001, pp.51\u201352)", "plainTextFormattedCitation" : "(Joss &amp; Kl\u00fcver 2001, pp.51\u201352)", "previouslyFormattedCitation" : "(Joss &amp; Kl\u00fcver 2001, pp.51\u201352)" }, "properties" : {  }, "schema" : "https://github.com/citation-style-language/schema/raw/master/csl-citation.json" }</w:instrText>
      </w:r>
      <w:r w:rsidR="00AF399C" w:rsidRPr="00AF399C">
        <w:rPr>
          <w:sz w:val="24"/>
          <w:szCs w:val="24"/>
          <w:lang w:val="it-IT"/>
        </w:rPr>
        <w:fldChar w:fldCharType="separate"/>
      </w:r>
      <w:r w:rsidR="00FD592E">
        <w:rPr>
          <w:sz w:val="24"/>
          <w:szCs w:val="24"/>
          <w:lang w:val="it-IT"/>
        </w:rPr>
        <w:t xml:space="preserve">(Joss &amp; Klüver 2001: </w:t>
      </w:r>
      <w:r w:rsidR="00AF399C" w:rsidRPr="00AF399C">
        <w:rPr>
          <w:sz w:val="24"/>
          <w:szCs w:val="24"/>
          <w:lang w:val="it-IT"/>
        </w:rPr>
        <w:t>51–52)</w:t>
      </w:r>
      <w:r w:rsidR="00AF399C" w:rsidRPr="00AF399C">
        <w:rPr>
          <w:sz w:val="24"/>
          <w:szCs w:val="24"/>
        </w:rPr>
        <w:fldChar w:fldCharType="end"/>
      </w:r>
      <w:r w:rsidR="00AF399C" w:rsidRPr="00AF399C">
        <w:rPr>
          <w:sz w:val="24"/>
          <w:szCs w:val="24"/>
          <w:lang w:val="it-IT"/>
        </w:rPr>
        <w:t xml:space="preserve">. </w:t>
      </w:r>
    </w:p>
    <w:p w:rsidR="00294C4F" w:rsidRDefault="00294C4F" w:rsidP="00AF399C">
      <w:pPr>
        <w:jc w:val="both"/>
        <w:rPr>
          <w:sz w:val="24"/>
          <w:szCs w:val="24"/>
          <w:lang w:val="it-IT"/>
        </w:rPr>
      </w:pPr>
    </w:p>
    <w:p w:rsidR="00294C4F" w:rsidRDefault="00294C4F" w:rsidP="00AF399C">
      <w:pPr>
        <w:jc w:val="both"/>
        <w:rPr>
          <w:sz w:val="24"/>
          <w:szCs w:val="24"/>
          <w:lang w:val="it-IT"/>
        </w:rPr>
      </w:pPr>
    </w:p>
    <w:p w:rsidR="00F6330E" w:rsidRDefault="00F6330E" w:rsidP="00AF399C">
      <w:pPr>
        <w:jc w:val="both"/>
        <w:rPr>
          <w:sz w:val="24"/>
          <w:szCs w:val="24"/>
          <w:lang w:val="it-IT"/>
        </w:rPr>
      </w:pPr>
    </w:p>
    <w:p w:rsidR="00AC17FF" w:rsidRDefault="00AC17FF" w:rsidP="00AC17FF">
      <w:pPr>
        <w:jc w:val="both"/>
        <w:rPr>
          <w:b/>
          <w:color w:val="0B5484" w:themeColor="accent1" w:themeShade="80"/>
          <w:sz w:val="24"/>
          <w:szCs w:val="24"/>
        </w:rPr>
      </w:pPr>
      <w:r w:rsidRPr="00C82A8C">
        <w:rPr>
          <w:b/>
          <w:bCs/>
          <w:color w:val="0B5484" w:themeColor="accent1" w:themeShade="80"/>
          <w:sz w:val="24"/>
          <w:szCs w:val="24"/>
        </w:rPr>
        <w:lastRenderedPageBreak/>
        <w:t xml:space="preserve">Table </w:t>
      </w:r>
      <w:r>
        <w:rPr>
          <w:b/>
          <w:bCs/>
          <w:color w:val="0B5484" w:themeColor="accent1" w:themeShade="80"/>
          <w:sz w:val="24"/>
          <w:szCs w:val="24"/>
        </w:rPr>
        <w:t xml:space="preserve">8: </w:t>
      </w:r>
      <w:r w:rsidRPr="00D943A4">
        <w:rPr>
          <w:b/>
          <w:color w:val="0B5484" w:themeColor="accent1" w:themeShade="80"/>
          <w:sz w:val="24"/>
          <w:szCs w:val="24"/>
        </w:rPr>
        <w:t>Denmark and Finland</w:t>
      </w:r>
      <w:r>
        <w:rPr>
          <w:b/>
          <w:color w:val="0B5484" w:themeColor="accent1" w:themeShade="80"/>
          <w:sz w:val="24"/>
          <w:szCs w:val="24"/>
        </w:rPr>
        <w:t xml:space="preserve">: </w:t>
      </w:r>
      <w:r>
        <w:rPr>
          <w:b/>
          <w:bCs/>
          <w:color w:val="0B5484" w:themeColor="accent1" w:themeShade="80"/>
          <w:sz w:val="24"/>
          <w:szCs w:val="24"/>
        </w:rPr>
        <w:t>Impact in</w:t>
      </w:r>
      <w:r w:rsidRPr="00C82A8C">
        <w:rPr>
          <w:b/>
          <w:bCs/>
          <w:color w:val="0B5484" w:themeColor="accent1" w:themeShade="80"/>
          <w:sz w:val="24"/>
          <w:szCs w:val="24"/>
        </w:rPr>
        <w:t xml:space="preserve"> </w:t>
      </w:r>
      <w:r>
        <w:rPr>
          <w:b/>
          <w:color w:val="0B5484" w:themeColor="accent1" w:themeShade="80"/>
          <w:sz w:val="24"/>
          <w:szCs w:val="24"/>
        </w:rPr>
        <w:t xml:space="preserve">Mini-Public </w:t>
      </w:r>
      <w:r w:rsidRPr="00C82A8C">
        <w:rPr>
          <w:b/>
          <w:color w:val="0B5484" w:themeColor="accent1" w:themeShade="80"/>
          <w:sz w:val="24"/>
          <w:szCs w:val="24"/>
        </w:rPr>
        <w:t>Cases</w:t>
      </w:r>
    </w:p>
    <w:tbl>
      <w:tblPr>
        <w:tblStyle w:val="TableGrid"/>
        <w:tblW w:w="11199" w:type="dxa"/>
        <w:tblInd w:w="-998" w:type="dxa"/>
        <w:tblLook w:val="04A0" w:firstRow="1" w:lastRow="0" w:firstColumn="1" w:lastColumn="0" w:noHBand="0" w:noVBand="1"/>
      </w:tblPr>
      <w:tblGrid>
        <w:gridCol w:w="510"/>
        <w:gridCol w:w="3546"/>
        <w:gridCol w:w="1502"/>
        <w:gridCol w:w="2665"/>
        <w:gridCol w:w="2976"/>
      </w:tblGrid>
      <w:tr w:rsidR="00294C4F" w:rsidTr="0085256C">
        <w:tc>
          <w:tcPr>
            <w:tcW w:w="510" w:type="dxa"/>
            <w:shd w:val="clear" w:color="auto" w:fill="FFFFFF" w:themeFill="background1"/>
          </w:tcPr>
          <w:p w:rsidR="00294C4F" w:rsidRPr="0003015A" w:rsidRDefault="00294C4F" w:rsidP="0085256C">
            <w:pPr>
              <w:rPr>
                <w:rFonts w:cstheme="minorHAnsi"/>
                <w:i/>
                <w:color w:val="0B5484" w:themeColor="accent1" w:themeShade="80"/>
                <w:sz w:val="20"/>
                <w:szCs w:val="20"/>
              </w:rPr>
            </w:pPr>
            <w:r w:rsidRPr="0003015A">
              <w:rPr>
                <w:rFonts w:cstheme="minorHAnsi"/>
                <w:b/>
                <w:i/>
                <w:color w:val="0B5484" w:themeColor="accent1" w:themeShade="80"/>
                <w:sz w:val="20"/>
                <w:szCs w:val="20"/>
              </w:rPr>
              <w:t>No.</w:t>
            </w:r>
          </w:p>
        </w:tc>
        <w:tc>
          <w:tcPr>
            <w:tcW w:w="35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94C4F" w:rsidRPr="0003015A" w:rsidRDefault="00294C4F" w:rsidP="0085256C">
            <w:pPr>
              <w:rPr>
                <w:rFonts w:cstheme="minorHAnsi"/>
                <w:b/>
                <w:bCs/>
                <w:i/>
                <w:color w:val="0B5484" w:themeColor="accent1" w:themeShade="80"/>
                <w:sz w:val="20"/>
                <w:szCs w:val="20"/>
              </w:rPr>
            </w:pPr>
            <w:r w:rsidRPr="0003015A">
              <w:rPr>
                <w:rFonts w:cstheme="minorHAnsi"/>
                <w:b/>
                <w:bCs/>
                <w:i/>
                <w:color w:val="0B5484" w:themeColor="accent1" w:themeShade="80"/>
                <w:sz w:val="20"/>
                <w:szCs w:val="20"/>
              </w:rPr>
              <w:t>Influence of evidence on participants</w:t>
            </w:r>
          </w:p>
        </w:tc>
        <w:tc>
          <w:tcPr>
            <w:tcW w:w="1502" w:type="dxa"/>
            <w:tcBorders>
              <w:top w:val="single" w:sz="4" w:space="0" w:color="auto"/>
              <w:left w:val="nil"/>
              <w:bottom w:val="single" w:sz="4" w:space="0" w:color="auto"/>
              <w:right w:val="single" w:sz="4" w:space="0" w:color="auto"/>
            </w:tcBorders>
            <w:shd w:val="clear" w:color="auto" w:fill="FFFFFF" w:themeFill="background1"/>
            <w:vAlign w:val="center"/>
          </w:tcPr>
          <w:p w:rsidR="00294C4F" w:rsidRPr="0003015A" w:rsidRDefault="00294C4F" w:rsidP="0085256C">
            <w:pPr>
              <w:rPr>
                <w:rFonts w:cstheme="minorHAnsi"/>
                <w:b/>
                <w:bCs/>
                <w:i/>
                <w:color w:val="0B5484" w:themeColor="accent1" w:themeShade="80"/>
                <w:sz w:val="20"/>
                <w:szCs w:val="20"/>
              </w:rPr>
            </w:pPr>
            <w:r w:rsidRPr="0003015A">
              <w:rPr>
                <w:rFonts w:cstheme="minorHAnsi"/>
                <w:b/>
                <w:bCs/>
                <w:i/>
                <w:color w:val="0B5484" w:themeColor="accent1" w:themeShade="80"/>
                <w:sz w:val="20"/>
                <w:szCs w:val="20"/>
              </w:rPr>
              <w:t xml:space="preserve">Policy area </w:t>
            </w:r>
          </w:p>
        </w:tc>
        <w:tc>
          <w:tcPr>
            <w:tcW w:w="2665" w:type="dxa"/>
            <w:tcBorders>
              <w:top w:val="single" w:sz="4" w:space="0" w:color="auto"/>
              <w:left w:val="nil"/>
              <w:bottom w:val="single" w:sz="4" w:space="0" w:color="auto"/>
              <w:right w:val="single" w:sz="4" w:space="0" w:color="auto"/>
            </w:tcBorders>
            <w:shd w:val="clear" w:color="auto" w:fill="FFFFFF" w:themeFill="background1"/>
            <w:vAlign w:val="center"/>
          </w:tcPr>
          <w:p w:rsidR="00294C4F" w:rsidRPr="0003015A" w:rsidRDefault="00294C4F" w:rsidP="0085256C">
            <w:pPr>
              <w:rPr>
                <w:rFonts w:cstheme="minorHAnsi"/>
                <w:b/>
                <w:bCs/>
                <w:i/>
                <w:color w:val="0B5484" w:themeColor="accent1" w:themeShade="80"/>
                <w:sz w:val="20"/>
                <w:szCs w:val="20"/>
              </w:rPr>
            </w:pPr>
            <w:r w:rsidRPr="0003015A">
              <w:rPr>
                <w:rFonts w:cstheme="minorHAnsi"/>
                <w:b/>
                <w:bCs/>
                <w:i/>
                <w:color w:val="0B5484" w:themeColor="accent1" w:themeShade="80"/>
                <w:sz w:val="20"/>
                <w:szCs w:val="20"/>
              </w:rPr>
              <w:t>Extent of policy/ practice influence</w:t>
            </w:r>
          </w:p>
        </w:tc>
        <w:tc>
          <w:tcPr>
            <w:tcW w:w="2976" w:type="dxa"/>
            <w:tcBorders>
              <w:top w:val="single" w:sz="4" w:space="0" w:color="auto"/>
              <w:left w:val="nil"/>
              <w:bottom w:val="single" w:sz="4" w:space="0" w:color="auto"/>
              <w:right w:val="single" w:sz="4" w:space="0" w:color="auto"/>
            </w:tcBorders>
            <w:shd w:val="clear" w:color="auto" w:fill="FFFFFF" w:themeFill="background1"/>
            <w:vAlign w:val="center"/>
          </w:tcPr>
          <w:p w:rsidR="00294C4F" w:rsidRPr="0003015A" w:rsidRDefault="00294C4F" w:rsidP="0085256C">
            <w:pPr>
              <w:rPr>
                <w:rFonts w:cstheme="minorHAnsi"/>
                <w:b/>
                <w:bCs/>
                <w:i/>
                <w:color w:val="0B5484" w:themeColor="accent1" w:themeShade="80"/>
                <w:sz w:val="20"/>
                <w:szCs w:val="20"/>
              </w:rPr>
            </w:pPr>
            <w:r w:rsidRPr="0003015A">
              <w:rPr>
                <w:rFonts w:cstheme="minorHAnsi"/>
                <w:b/>
                <w:bCs/>
                <w:i/>
                <w:color w:val="0B5484" w:themeColor="accent1" w:themeShade="80"/>
                <w:sz w:val="20"/>
                <w:szCs w:val="20"/>
              </w:rPr>
              <w:t>Key references</w:t>
            </w:r>
          </w:p>
        </w:tc>
      </w:tr>
      <w:tr w:rsidR="00294C4F" w:rsidTr="00BC070F">
        <w:tc>
          <w:tcPr>
            <w:tcW w:w="510" w:type="dxa"/>
            <w:shd w:val="clear" w:color="auto" w:fill="ABD9F8" w:themeFill="accent1" w:themeFillTint="66"/>
            <w:vAlign w:val="center"/>
          </w:tcPr>
          <w:p w:rsidR="00294C4F" w:rsidRPr="00BC070F" w:rsidRDefault="00294C4F" w:rsidP="0085256C">
            <w:pPr>
              <w:rPr>
                <w:rFonts w:cstheme="minorHAnsi"/>
                <w:b/>
                <w:i/>
                <w:sz w:val="20"/>
                <w:szCs w:val="20"/>
              </w:rPr>
            </w:pPr>
            <w:r w:rsidRPr="00BC070F">
              <w:rPr>
                <w:rFonts w:cstheme="minorHAnsi"/>
                <w:b/>
                <w:i/>
                <w:sz w:val="20"/>
                <w:szCs w:val="20"/>
              </w:rPr>
              <w:t>16</w:t>
            </w:r>
          </w:p>
        </w:tc>
        <w:tc>
          <w:tcPr>
            <w:tcW w:w="3546" w:type="dxa"/>
            <w:tcBorders>
              <w:top w:val="single" w:sz="4" w:space="0" w:color="auto"/>
              <w:left w:val="single" w:sz="4" w:space="0" w:color="auto"/>
              <w:bottom w:val="single" w:sz="4" w:space="0" w:color="auto"/>
              <w:right w:val="single" w:sz="4" w:space="0" w:color="auto"/>
            </w:tcBorders>
            <w:shd w:val="clear" w:color="auto" w:fill="ABD9F8" w:themeFill="accent1" w:themeFillTint="66"/>
          </w:tcPr>
          <w:p w:rsidR="00294C4F" w:rsidRPr="0028476F" w:rsidRDefault="00294C4F" w:rsidP="0085256C">
            <w:pPr>
              <w:rPr>
                <w:rFonts w:ascii="Calibri" w:hAnsi="Calibri" w:cs="Calibri"/>
                <w:color w:val="000000"/>
                <w:sz w:val="20"/>
                <w:szCs w:val="20"/>
              </w:rPr>
            </w:pPr>
            <w:r w:rsidRPr="0028476F">
              <w:rPr>
                <w:rFonts w:ascii="Calibri" w:hAnsi="Calibri" w:cs="Calibri"/>
                <w:color w:val="000000"/>
                <w:sz w:val="20"/>
                <w:szCs w:val="20"/>
              </w:rPr>
              <w:t xml:space="preserve">Moderate influence </w:t>
            </w:r>
          </w:p>
        </w:tc>
        <w:tc>
          <w:tcPr>
            <w:tcW w:w="1502" w:type="dxa"/>
            <w:tcBorders>
              <w:top w:val="single" w:sz="4" w:space="0" w:color="auto"/>
              <w:left w:val="single" w:sz="4" w:space="0" w:color="auto"/>
              <w:bottom w:val="single" w:sz="4" w:space="0" w:color="auto"/>
              <w:right w:val="single" w:sz="4" w:space="0" w:color="auto"/>
            </w:tcBorders>
            <w:shd w:val="clear" w:color="auto" w:fill="ABD9F8" w:themeFill="accent1" w:themeFillTint="66"/>
          </w:tcPr>
          <w:p w:rsidR="00294C4F" w:rsidRPr="0028476F" w:rsidRDefault="00294C4F" w:rsidP="0085256C">
            <w:pPr>
              <w:rPr>
                <w:rFonts w:ascii="Calibri" w:hAnsi="Calibri" w:cs="Calibri"/>
                <w:color w:val="000000"/>
                <w:sz w:val="20"/>
                <w:szCs w:val="20"/>
              </w:rPr>
            </w:pPr>
            <w:r w:rsidRPr="0028476F">
              <w:rPr>
                <w:rFonts w:ascii="Calibri" w:hAnsi="Calibri" w:cs="Calibri"/>
                <w:color w:val="000000"/>
                <w:sz w:val="20"/>
                <w:szCs w:val="20"/>
              </w:rPr>
              <w:t>Health</w:t>
            </w:r>
          </w:p>
        </w:tc>
        <w:tc>
          <w:tcPr>
            <w:tcW w:w="2665" w:type="dxa"/>
            <w:tcBorders>
              <w:top w:val="single" w:sz="4" w:space="0" w:color="auto"/>
              <w:left w:val="single" w:sz="4" w:space="0" w:color="auto"/>
              <w:bottom w:val="single" w:sz="4" w:space="0" w:color="auto"/>
              <w:right w:val="single" w:sz="4" w:space="0" w:color="auto"/>
            </w:tcBorders>
            <w:shd w:val="clear" w:color="auto" w:fill="ABD9F8" w:themeFill="accent1" w:themeFillTint="66"/>
          </w:tcPr>
          <w:p w:rsidR="00294C4F" w:rsidRPr="0028476F" w:rsidRDefault="00294C4F" w:rsidP="0085256C">
            <w:pPr>
              <w:rPr>
                <w:rFonts w:ascii="Calibri" w:hAnsi="Calibri" w:cs="Calibri"/>
                <w:color w:val="000000"/>
                <w:sz w:val="20"/>
                <w:szCs w:val="20"/>
              </w:rPr>
            </w:pPr>
            <w:r w:rsidRPr="0028476F">
              <w:rPr>
                <w:rFonts w:ascii="Calibri" w:hAnsi="Calibri" w:cs="Calibri"/>
                <w:color w:val="000000"/>
                <w:sz w:val="20"/>
                <w:szCs w:val="20"/>
              </w:rPr>
              <w:t>No influence</w:t>
            </w:r>
          </w:p>
        </w:tc>
        <w:tc>
          <w:tcPr>
            <w:tcW w:w="2976" w:type="dxa"/>
            <w:shd w:val="clear" w:color="auto" w:fill="ABD9F8" w:themeFill="accent1" w:themeFillTint="66"/>
          </w:tcPr>
          <w:p w:rsidR="00294C4F" w:rsidRPr="0028476F" w:rsidRDefault="00294C4F" w:rsidP="0085256C">
            <w:pPr>
              <w:rPr>
                <w:rFonts w:cstheme="minorHAnsi"/>
                <w:sz w:val="20"/>
                <w:szCs w:val="20"/>
              </w:rPr>
            </w:pPr>
            <w:proofErr w:type="spellStart"/>
            <w:r w:rsidRPr="0028476F">
              <w:rPr>
                <w:rFonts w:cstheme="minorHAnsi"/>
                <w:sz w:val="20"/>
                <w:szCs w:val="20"/>
              </w:rPr>
              <w:t>Dryzek</w:t>
            </w:r>
            <w:proofErr w:type="spellEnd"/>
            <w:r w:rsidRPr="0028476F">
              <w:rPr>
                <w:rFonts w:cstheme="minorHAnsi"/>
                <w:sz w:val="20"/>
                <w:szCs w:val="20"/>
              </w:rPr>
              <w:t xml:space="preserve"> &amp; Tucker (2008); Joss &amp; </w:t>
            </w:r>
            <w:proofErr w:type="spellStart"/>
            <w:r w:rsidRPr="0028476F">
              <w:rPr>
                <w:rFonts w:cstheme="minorHAnsi"/>
                <w:sz w:val="20"/>
                <w:szCs w:val="20"/>
              </w:rPr>
              <w:t>Kluver</w:t>
            </w:r>
            <w:proofErr w:type="spellEnd"/>
            <w:r w:rsidRPr="0028476F">
              <w:rPr>
                <w:rFonts w:cstheme="minorHAnsi"/>
                <w:sz w:val="20"/>
                <w:szCs w:val="20"/>
              </w:rPr>
              <w:t xml:space="preserve"> (2001)</w:t>
            </w:r>
          </w:p>
        </w:tc>
      </w:tr>
      <w:tr w:rsidR="00294C4F" w:rsidTr="0085256C">
        <w:tc>
          <w:tcPr>
            <w:tcW w:w="510" w:type="dxa"/>
            <w:vAlign w:val="center"/>
          </w:tcPr>
          <w:p w:rsidR="00294C4F" w:rsidRPr="00BC070F" w:rsidRDefault="00294C4F" w:rsidP="0085256C">
            <w:pPr>
              <w:rPr>
                <w:rFonts w:cstheme="minorHAnsi"/>
                <w:b/>
                <w:i/>
                <w:sz w:val="20"/>
                <w:szCs w:val="20"/>
              </w:rPr>
            </w:pPr>
            <w:r w:rsidRPr="00BC070F">
              <w:rPr>
                <w:rFonts w:cstheme="minorHAnsi"/>
                <w:b/>
                <w:i/>
                <w:sz w:val="20"/>
                <w:szCs w:val="20"/>
              </w:rPr>
              <w:t>17</w:t>
            </w:r>
          </w:p>
        </w:tc>
        <w:tc>
          <w:tcPr>
            <w:tcW w:w="3546" w:type="dxa"/>
            <w:tcBorders>
              <w:top w:val="nil"/>
              <w:left w:val="single" w:sz="4" w:space="0" w:color="auto"/>
              <w:bottom w:val="single" w:sz="4" w:space="0" w:color="auto"/>
              <w:right w:val="single" w:sz="4" w:space="0" w:color="auto"/>
            </w:tcBorders>
            <w:shd w:val="clear" w:color="auto" w:fill="auto"/>
            <w:vAlign w:val="bottom"/>
          </w:tcPr>
          <w:p w:rsidR="00294C4F" w:rsidRPr="0028476F" w:rsidRDefault="00294C4F" w:rsidP="0085256C">
            <w:pPr>
              <w:rPr>
                <w:rFonts w:ascii="Calibri" w:hAnsi="Calibri" w:cs="Calibri"/>
                <w:color w:val="000000"/>
                <w:sz w:val="20"/>
                <w:szCs w:val="20"/>
              </w:rPr>
            </w:pPr>
            <w:r w:rsidRPr="0028476F">
              <w:rPr>
                <w:rFonts w:ascii="Calibri" w:hAnsi="Calibri" w:cs="Calibri"/>
                <w:color w:val="000000"/>
                <w:sz w:val="20"/>
                <w:szCs w:val="20"/>
              </w:rPr>
              <w:t>Don't know</w:t>
            </w:r>
          </w:p>
        </w:tc>
        <w:tc>
          <w:tcPr>
            <w:tcW w:w="1502" w:type="dxa"/>
            <w:tcBorders>
              <w:top w:val="nil"/>
              <w:left w:val="single" w:sz="4" w:space="0" w:color="auto"/>
              <w:bottom w:val="single" w:sz="4" w:space="0" w:color="auto"/>
              <w:right w:val="single" w:sz="4" w:space="0" w:color="auto"/>
            </w:tcBorders>
            <w:shd w:val="clear" w:color="auto" w:fill="auto"/>
            <w:vAlign w:val="bottom"/>
          </w:tcPr>
          <w:p w:rsidR="00294C4F" w:rsidRPr="0028476F" w:rsidRDefault="00294C4F" w:rsidP="0085256C">
            <w:pPr>
              <w:rPr>
                <w:rFonts w:ascii="Calibri" w:hAnsi="Calibri" w:cs="Calibri"/>
                <w:color w:val="000000"/>
                <w:sz w:val="20"/>
                <w:szCs w:val="20"/>
              </w:rPr>
            </w:pPr>
            <w:r w:rsidRPr="0028476F">
              <w:rPr>
                <w:rFonts w:ascii="Calibri" w:hAnsi="Calibri" w:cs="Calibri"/>
                <w:color w:val="000000"/>
                <w:sz w:val="20"/>
                <w:szCs w:val="20"/>
              </w:rPr>
              <w:t>Health/ Education</w:t>
            </w:r>
          </w:p>
        </w:tc>
        <w:tc>
          <w:tcPr>
            <w:tcW w:w="2665" w:type="dxa"/>
            <w:tcBorders>
              <w:top w:val="nil"/>
              <w:left w:val="single" w:sz="4" w:space="0" w:color="auto"/>
              <w:bottom w:val="single" w:sz="4" w:space="0" w:color="auto"/>
              <w:right w:val="single" w:sz="4" w:space="0" w:color="auto"/>
            </w:tcBorders>
            <w:shd w:val="clear" w:color="auto" w:fill="auto"/>
            <w:vAlign w:val="bottom"/>
          </w:tcPr>
          <w:p w:rsidR="00294C4F" w:rsidRPr="0028476F" w:rsidRDefault="00294C4F" w:rsidP="0085256C">
            <w:pPr>
              <w:rPr>
                <w:rFonts w:ascii="Calibri" w:hAnsi="Calibri" w:cs="Calibri"/>
                <w:color w:val="000000"/>
                <w:sz w:val="20"/>
                <w:szCs w:val="20"/>
              </w:rPr>
            </w:pPr>
            <w:r w:rsidRPr="0028476F">
              <w:rPr>
                <w:rFonts w:ascii="Calibri" w:hAnsi="Calibri" w:cs="Calibri"/>
                <w:color w:val="000000"/>
                <w:sz w:val="20"/>
                <w:szCs w:val="20"/>
              </w:rPr>
              <w:t>Don't know</w:t>
            </w:r>
          </w:p>
        </w:tc>
        <w:tc>
          <w:tcPr>
            <w:tcW w:w="2976" w:type="dxa"/>
          </w:tcPr>
          <w:p w:rsidR="00294C4F" w:rsidRPr="0028476F" w:rsidRDefault="00294C4F" w:rsidP="0085256C">
            <w:pPr>
              <w:rPr>
                <w:rFonts w:cstheme="minorHAnsi"/>
                <w:sz w:val="20"/>
                <w:szCs w:val="20"/>
              </w:rPr>
            </w:pPr>
            <w:proofErr w:type="spellStart"/>
            <w:r w:rsidRPr="0028476F">
              <w:rPr>
                <w:rFonts w:cstheme="minorHAnsi"/>
                <w:sz w:val="20"/>
                <w:szCs w:val="20"/>
              </w:rPr>
              <w:t>Bangsbo</w:t>
            </w:r>
            <w:proofErr w:type="spellEnd"/>
            <w:r w:rsidRPr="0028476F">
              <w:rPr>
                <w:rFonts w:cstheme="minorHAnsi"/>
                <w:sz w:val="20"/>
                <w:szCs w:val="20"/>
              </w:rPr>
              <w:t xml:space="preserve"> et al. (2016)</w:t>
            </w:r>
          </w:p>
        </w:tc>
      </w:tr>
      <w:tr w:rsidR="00294C4F" w:rsidTr="00BC070F">
        <w:tc>
          <w:tcPr>
            <w:tcW w:w="510" w:type="dxa"/>
            <w:shd w:val="clear" w:color="auto" w:fill="ABD9F8" w:themeFill="accent1" w:themeFillTint="66"/>
            <w:vAlign w:val="center"/>
          </w:tcPr>
          <w:p w:rsidR="00294C4F" w:rsidRPr="00BC070F" w:rsidRDefault="00294C4F" w:rsidP="0085256C">
            <w:pPr>
              <w:rPr>
                <w:rFonts w:cstheme="minorHAnsi"/>
                <w:b/>
                <w:i/>
                <w:sz w:val="20"/>
                <w:szCs w:val="20"/>
              </w:rPr>
            </w:pPr>
            <w:r w:rsidRPr="00BC070F">
              <w:rPr>
                <w:rFonts w:cstheme="minorHAnsi"/>
                <w:b/>
                <w:i/>
                <w:sz w:val="20"/>
                <w:szCs w:val="20"/>
              </w:rPr>
              <w:t>18</w:t>
            </w:r>
          </w:p>
        </w:tc>
        <w:tc>
          <w:tcPr>
            <w:tcW w:w="3546" w:type="dxa"/>
            <w:tcBorders>
              <w:top w:val="nil"/>
              <w:left w:val="single" w:sz="4" w:space="0" w:color="auto"/>
              <w:bottom w:val="single" w:sz="4" w:space="0" w:color="auto"/>
              <w:right w:val="single" w:sz="4" w:space="0" w:color="auto"/>
            </w:tcBorders>
            <w:shd w:val="clear" w:color="auto" w:fill="ABD9F8" w:themeFill="accent1" w:themeFillTint="66"/>
            <w:vAlign w:val="bottom"/>
          </w:tcPr>
          <w:p w:rsidR="00294C4F" w:rsidRPr="0028476F" w:rsidRDefault="00294C4F" w:rsidP="0085256C">
            <w:pPr>
              <w:rPr>
                <w:rFonts w:ascii="Calibri" w:hAnsi="Calibri" w:cs="Calibri"/>
                <w:color w:val="000000"/>
                <w:sz w:val="20"/>
                <w:szCs w:val="20"/>
              </w:rPr>
            </w:pPr>
            <w:r w:rsidRPr="0028476F">
              <w:rPr>
                <w:rFonts w:ascii="Calibri" w:hAnsi="Calibri" w:cs="Calibri"/>
                <w:color w:val="000000"/>
                <w:sz w:val="20"/>
                <w:szCs w:val="20"/>
              </w:rPr>
              <w:t>Don't know</w:t>
            </w:r>
          </w:p>
        </w:tc>
        <w:tc>
          <w:tcPr>
            <w:tcW w:w="1502" w:type="dxa"/>
            <w:tcBorders>
              <w:top w:val="nil"/>
              <w:left w:val="single" w:sz="4" w:space="0" w:color="auto"/>
              <w:bottom w:val="single" w:sz="4" w:space="0" w:color="auto"/>
              <w:right w:val="single" w:sz="4" w:space="0" w:color="auto"/>
            </w:tcBorders>
            <w:shd w:val="clear" w:color="auto" w:fill="ABD9F8" w:themeFill="accent1" w:themeFillTint="66"/>
            <w:vAlign w:val="bottom"/>
          </w:tcPr>
          <w:p w:rsidR="00294C4F" w:rsidRPr="0028476F" w:rsidRDefault="00294C4F" w:rsidP="0085256C">
            <w:pPr>
              <w:rPr>
                <w:rFonts w:ascii="Calibri" w:hAnsi="Calibri" w:cs="Calibri"/>
                <w:color w:val="000000"/>
                <w:sz w:val="20"/>
                <w:szCs w:val="20"/>
              </w:rPr>
            </w:pPr>
            <w:r w:rsidRPr="0028476F">
              <w:rPr>
                <w:rFonts w:ascii="Calibri" w:hAnsi="Calibri" w:cs="Calibri"/>
                <w:color w:val="000000"/>
                <w:sz w:val="20"/>
                <w:szCs w:val="20"/>
              </w:rPr>
              <w:t>Health</w:t>
            </w:r>
          </w:p>
        </w:tc>
        <w:tc>
          <w:tcPr>
            <w:tcW w:w="2665" w:type="dxa"/>
            <w:tcBorders>
              <w:top w:val="nil"/>
              <w:left w:val="single" w:sz="4" w:space="0" w:color="auto"/>
              <w:bottom w:val="single" w:sz="4" w:space="0" w:color="auto"/>
              <w:right w:val="single" w:sz="4" w:space="0" w:color="auto"/>
            </w:tcBorders>
            <w:shd w:val="clear" w:color="auto" w:fill="ABD9F8" w:themeFill="accent1" w:themeFillTint="66"/>
            <w:vAlign w:val="bottom"/>
          </w:tcPr>
          <w:p w:rsidR="00294C4F" w:rsidRPr="0028476F" w:rsidRDefault="00294C4F" w:rsidP="0085256C">
            <w:pPr>
              <w:rPr>
                <w:rFonts w:ascii="Calibri" w:hAnsi="Calibri" w:cs="Calibri"/>
                <w:color w:val="000000"/>
                <w:sz w:val="20"/>
                <w:szCs w:val="20"/>
              </w:rPr>
            </w:pPr>
            <w:r w:rsidRPr="0028476F">
              <w:rPr>
                <w:rFonts w:ascii="Calibri" w:hAnsi="Calibri" w:cs="Calibri"/>
                <w:color w:val="000000"/>
                <w:sz w:val="20"/>
                <w:szCs w:val="20"/>
              </w:rPr>
              <w:t>Don't know</w:t>
            </w:r>
          </w:p>
        </w:tc>
        <w:tc>
          <w:tcPr>
            <w:tcW w:w="2976" w:type="dxa"/>
            <w:shd w:val="clear" w:color="auto" w:fill="ABD9F8" w:themeFill="accent1" w:themeFillTint="66"/>
          </w:tcPr>
          <w:p w:rsidR="00294C4F" w:rsidRPr="0028476F" w:rsidRDefault="00294C4F" w:rsidP="0085256C">
            <w:pPr>
              <w:rPr>
                <w:rFonts w:cstheme="minorHAnsi"/>
                <w:sz w:val="20"/>
                <w:szCs w:val="20"/>
              </w:rPr>
            </w:pPr>
            <w:proofErr w:type="spellStart"/>
            <w:r w:rsidRPr="0028476F">
              <w:rPr>
                <w:rFonts w:cstheme="minorHAnsi"/>
                <w:sz w:val="20"/>
                <w:szCs w:val="20"/>
              </w:rPr>
              <w:t>Raisio</w:t>
            </w:r>
            <w:proofErr w:type="spellEnd"/>
            <w:r w:rsidRPr="0028476F">
              <w:rPr>
                <w:rFonts w:cstheme="minorHAnsi"/>
                <w:sz w:val="20"/>
                <w:szCs w:val="20"/>
              </w:rPr>
              <w:t xml:space="preserve"> (2010)</w:t>
            </w:r>
          </w:p>
        </w:tc>
      </w:tr>
      <w:tr w:rsidR="00294C4F" w:rsidTr="0085256C">
        <w:tc>
          <w:tcPr>
            <w:tcW w:w="510" w:type="dxa"/>
            <w:vAlign w:val="center"/>
          </w:tcPr>
          <w:p w:rsidR="00294C4F" w:rsidRPr="00BC070F" w:rsidRDefault="00294C4F" w:rsidP="0085256C">
            <w:pPr>
              <w:rPr>
                <w:rFonts w:cstheme="minorHAnsi"/>
                <w:b/>
                <w:i/>
                <w:sz w:val="20"/>
                <w:szCs w:val="20"/>
              </w:rPr>
            </w:pPr>
            <w:r w:rsidRPr="00BC070F">
              <w:rPr>
                <w:rFonts w:cstheme="minorHAnsi"/>
                <w:b/>
                <w:i/>
                <w:sz w:val="20"/>
                <w:szCs w:val="20"/>
              </w:rPr>
              <w:t>19</w:t>
            </w:r>
          </w:p>
        </w:tc>
        <w:tc>
          <w:tcPr>
            <w:tcW w:w="3546" w:type="dxa"/>
            <w:tcBorders>
              <w:top w:val="nil"/>
              <w:left w:val="single" w:sz="4" w:space="0" w:color="auto"/>
              <w:bottom w:val="single" w:sz="4" w:space="0" w:color="auto"/>
              <w:right w:val="single" w:sz="4" w:space="0" w:color="auto"/>
            </w:tcBorders>
            <w:shd w:val="clear" w:color="000000" w:fill="FFFFFF"/>
            <w:vAlign w:val="bottom"/>
          </w:tcPr>
          <w:p w:rsidR="00294C4F" w:rsidRPr="0028476F" w:rsidRDefault="00294C4F" w:rsidP="0085256C">
            <w:pPr>
              <w:rPr>
                <w:rFonts w:ascii="Calibri" w:hAnsi="Calibri" w:cs="Calibri"/>
                <w:color w:val="000000"/>
                <w:sz w:val="20"/>
                <w:szCs w:val="20"/>
              </w:rPr>
            </w:pPr>
            <w:r w:rsidRPr="0028476F">
              <w:rPr>
                <w:rFonts w:ascii="Calibri" w:hAnsi="Calibri" w:cs="Calibri"/>
                <w:color w:val="000000"/>
                <w:sz w:val="20"/>
                <w:szCs w:val="20"/>
              </w:rPr>
              <w:t>Don't know</w:t>
            </w:r>
          </w:p>
        </w:tc>
        <w:tc>
          <w:tcPr>
            <w:tcW w:w="1502" w:type="dxa"/>
            <w:tcBorders>
              <w:top w:val="nil"/>
              <w:left w:val="single" w:sz="4" w:space="0" w:color="auto"/>
              <w:bottom w:val="single" w:sz="4" w:space="0" w:color="auto"/>
              <w:right w:val="single" w:sz="4" w:space="0" w:color="auto"/>
            </w:tcBorders>
            <w:shd w:val="clear" w:color="000000" w:fill="FFFFFF"/>
            <w:vAlign w:val="bottom"/>
          </w:tcPr>
          <w:p w:rsidR="00294C4F" w:rsidRPr="0028476F" w:rsidRDefault="00294C4F" w:rsidP="0085256C">
            <w:pPr>
              <w:rPr>
                <w:rFonts w:ascii="Calibri" w:hAnsi="Calibri" w:cs="Calibri"/>
                <w:color w:val="000000"/>
                <w:sz w:val="20"/>
                <w:szCs w:val="20"/>
              </w:rPr>
            </w:pPr>
            <w:r w:rsidRPr="0028476F">
              <w:rPr>
                <w:rFonts w:ascii="Calibri" w:hAnsi="Calibri" w:cs="Calibri"/>
                <w:color w:val="000000"/>
                <w:sz w:val="20"/>
                <w:szCs w:val="20"/>
              </w:rPr>
              <w:t>Health</w:t>
            </w:r>
          </w:p>
        </w:tc>
        <w:tc>
          <w:tcPr>
            <w:tcW w:w="2665" w:type="dxa"/>
            <w:tcBorders>
              <w:top w:val="nil"/>
              <w:left w:val="single" w:sz="4" w:space="0" w:color="auto"/>
              <w:bottom w:val="single" w:sz="4" w:space="0" w:color="auto"/>
              <w:right w:val="single" w:sz="4" w:space="0" w:color="auto"/>
            </w:tcBorders>
            <w:shd w:val="clear" w:color="000000" w:fill="FFFFFF"/>
            <w:vAlign w:val="bottom"/>
          </w:tcPr>
          <w:p w:rsidR="00294C4F" w:rsidRPr="0028476F" w:rsidRDefault="00294C4F" w:rsidP="0085256C">
            <w:pPr>
              <w:rPr>
                <w:rFonts w:ascii="Calibri" w:hAnsi="Calibri" w:cs="Calibri"/>
                <w:color w:val="000000"/>
                <w:sz w:val="20"/>
                <w:szCs w:val="20"/>
              </w:rPr>
            </w:pPr>
            <w:r w:rsidRPr="0028476F">
              <w:rPr>
                <w:rFonts w:ascii="Calibri" w:hAnsi="Calibri" w:cs="Calibri"/>
                <w:color w:val="000000"/>
                <w:sz w:val="20"/>
                <w:szCs w:val="20"/>
              </w:rPr>
              <w:t>No influence</w:t>
            </w:r>
          </w:p>
        </w:tc>
        <w:tc>
          <w:tcPr>
            <w:tcW w:w="2976" w:type="dxa"/>
          </w:tcPr>
          <w:p w:rsidR="00294C4F" w:rsidRPr="0028476F" w:rsidRDefault="00294C4F" w:rsidP="0085256C">
            <w:pPr>
              <w:rPr>
                <w:rFonts w:cstheme="minorHAnsi"/>
                <w:sz w:val="20"/>
                <w:szCs w:val="20"/>
              </w:rPr>
            </w:pPr>
            <w:proofErr w:type="spellStart"/>
            <w:r w:rsidRPr="0028476F">
              <w:rPr>
                <w:rFonts w:cstheme="minorHAnsi"/>
                <w:sz w:val="20"/>
                <w:szCs w:val="20"/>
              </w:rPr>
              <w:t>Raisio</w:t>
            </w:r>
            <w:proofErr w:type="spellEnd"/>
            <w:r w:rsidRPr="0028476F">
              <w:rPr>
                <w:rFonts w:cstheme="minorHAnsi"/>
                <w:sz w:val="20"/>
                <w:szCs w:val="20"/>
              </w:rPr>
              <w:t xml:space="preserve"> &amp; </w:t>
            </w:r>
            <w:proofErr w:type="spellStart"/>
            <w:r w:rsidRPr="0028476F">
              <w:rPr>
                <w:rFonts w:cstheme="minorHAnsi"/>
                <w:sz w:val="20"/>
                <w:szCs w:val="20"/>
              </w:rPr>
              <w:t>Vartiainen</w:t>
            </w:r>
            <w:proofErr w:type="spellEnd"/>
            <w:r w:rsidRPr="0028476F">
              <w:rPr>
                <w:rFonts w:cstheme="minorHAnsi"/>
                <w:sz w:val="20"/>
                <w:szCs w:val="20"/>
              </w:rPr>
              <w:t xml:space="preserve"> (2015)</w:t>
            </w:r>
          </w:p>
        </w:tc>
      </w:tr>
      <w:tr w:rsidR="00294C4F" w:rsidTr="00BC070F">
        <w:tc>
          <w:tcPr>
            <w:tcW w:w="510" w:type="dxa"/>
            <w:shd w:val="clear" w:color="auto" w:fill="ABD9F8" w:themeFill="accent1" w:themeFillTint="66"/>
            <w:vAlign w:val="center"/>
          </w:tcPr>
          <w:p w:rsidR="00294C4F" w:rsidRPr="00BC070F" w:rsidRDefault="00294C4F" w:rsidP="0085256C">
            <w:pPr>
              <w:rPr>
                <w:rFonts w:cstheme="minorHAnsi"/>
                <w:b/>
                <w:i/>
                <w:sz w:val="20"/>
                <w:szCs w:val="20"/>
              </w:rPr>
            </w:pPr>
            <w:r w:rsidRPr="00BC070F">
              <w:rPr>
                <w:rFonts w:cstheme="minorHAnsi"/>
                <w:b/>
                <w:i/>
                <w:sz w:val="20"/>
                <w:szCs w:val="20"/>
              </w:rPr>
              <w:t>20</w:t>
            </w:r>
          </w:p>
        </w:tc>
        <w:tc>
          <w:tcPr>
            <w:tcW w:w="3546" w:type="dxa"/>
            <w:tcBorders>
              <w:top w:val="nil"/>
              <w:left w:val="single" w:sz="4" w:space="0" w:color="auto"/>
              <w:bottom w:val="single" w:sz="4" w:space="0" w:color="auto"/>
              <w:right w:val="single" w:sz="4" w:space="0" w:color="auto"/>
            </w:tcBorders>
            <w:shd w:val="clear" w:color="auto" w:fill="ABD9F8" w:themeFill="accent1" w:themeFillTint="66"/>
            <w:vAlign w:val="bottom"/>
          </w:tcPr>
          <w:p w:rsidR="00294C4F" w:rsidRPr="0028476F" w:rsidRDefault="00294C4F" w:rsidP="0085256C">
            <w:pPr>
              <w:rPr>
                <w:rFonts w:ascii="Calibri" w:hAnsi="Calibri" w:cs="Calibri"/>
                <w:color w:val="000000"/>
                <w:sz w:val="20"/>
                <w:szCs w:val="20"/>
              </w:rPr>
            </w:pPr>
            <w:r w:rsidRPr="0028476F">
              <w:rPr>
                <w:rFonts w:ascii="Calibri" w:hAnsi="Calibri" w:cs="Calibri"/>
                <w:color w:val="000000"/>
                <w:sz w:val="20"/>
                <w:szCs w:val="20"/>
              </w:rPr>
              <w:t>Don't know</w:t>
            </w:r>
          </w:p>
        </w:tc>
        <w:tc>
          <w:tcPr>
            <w:tcW w:w="1502" w:type="dxa"/>
            <w:tcBorders>
              <w:top w:val="nil"/>
              <w:left w:val="single" w:sz="4" w:space="0" w:color="auto"/>
              <w:bottom w:val="single" w:sz="4" w:space="0" w:color="auto"/>
              <w:right w:val="single" w:sz="4" w:space="0" w:color="auto"/>
            </w:tcBorders>
            <w:shd w:val="clear" w:color="auto" w:fill="ABD9F8" w:themeFill="accent1" w:themeFillTint="66"/>
            <w:vAlign w:val="bottom"/>
          </w:tcPr>
          <w:p w:rsidR="00294C4F" w:rsidRPr="0028476F" w:rsidRDefault="00294C4F" w:rsidP="0085256C">
            <w:pPr>
              <w:rPr>
                <w:rFonts w:ascii="Calibri" w:hAnsi="Calibri" w:cs="Calibri"/>
                <w:color w:val="000000"/>
                <w:sz w:val="20"/>
                <w:szCs w:val="20"/>
              </w:rPr>
            </w:pPr>
            <w:r w:rsidRPr="0028476F">
              <w:rPr>
                <w:rFonts w:ascii="Calibri" w:hAnsi="Calibri" w:cs="Calibri"/>
                <w:color w:val="000000"/>
                <w:sz w:val="20"/>
                <w:szCs w:val="20"/>
              </w:rPr>
              <w:t>Energy</w:t>
            </w:r>
          </w:p>
        </w:tc>
        <w:tc>
          <w:tcPr>
            <w:tcW w:w="2665" w:type="dxa"/>
            <w:tcBorders>
              <w:top w:val="nil"/>
              <w:left w:val="single" w:sz="4" w:space="0" w:color="auto"/>
              <w:bottom w:val="single" w:sz="4" w:space="0" w:color="auto"/>
              <w:right w:val="single" w:sz="4" w:space="0" w:color="auto"/>
            </w:tcBorders>
            <w:shd w:val="clear" w:color="auto" w:fill="ABD9F8" w:themeFill="accent1" w:themeFillTint="66"/>
            <w:vAlign w:val="bottom"/>
          </w:tcPr>
          <w:p w:rsidR="00294C4F" w:rsidRPr="0028476F" w:rsidRDefault="00294C4F" w:rsidP="0085256C">
            <w:pPr>
              <w:rPr>
                <w:rFonts w:ascii="Calibri" w:hAnsi="Calibri" w:cs="Calibri"/>
                <w:color w:val="000000"/>
                <w:sz w:val="20"/>
                <w:szCs w:val="20"/>
              </w:rPr>
            </w:pPr>
            <w:r w:rsidRPr="0028476F">
              <w:rPr>
                <w:rFonts w:ascii="Calibri" w:hAnsi="Calibri" w:cs="Calibri"/>
                <w:color w:val="000000"/>
                <w:sz w:val="20"/>
                <w:szCs w:val="20"/>
              </w:rPr>
              <w:t>Don't know</w:t>
            </w:r>
          </w:p>
        </w:tc>
        <w:tc>
          <w:tcPr>
            <w:tcW w:w="2976" w:type="dxa"/>
            <w:shd w:val="clear" w:color="auto" w:fill="ABD9F8" w:themeFill="accent1" w:themeFillTint="66"/>
          </w:tcPr>
          <w:p w:rsidR="00294C4F" w:rsidRPr="0028476F" w:rsidRDefault="00294C4F" w:rsidP="0085256C">
            <w:pPr>
              <w:rPr>
                <w:rFonts w:cstheme="minorHAnsi"/>
                <w:sz w:val="20"/>
                <w:szCs w:val="20"/>
              </w:rPr>
            </w:pPr>
            <w:r w:rsidRPr="0028476F">
              <w:rPr>
                <w:rFonts w:cstheme="minorHAnsi"/>
                <w:sz w:val="20"/>
                <w:szCs w:val="20"/>
              </w:rPr>
              <w:t>Himmelroos (2017)</w:t>
            </w:r>
          </w:p>
        </w:tc>
      </w:tr>
      <w:tr w:rsidR="00294C4F" w:rsidTr="0085256C">
        <w:tc>
          <w:tcPr>
            <w:tcW w:w="510" w:type="dxa"/>
            <w:vAlign w:val="center"/>
          </w:tcPr>
          <w:p w:rsidR="00294C4F" w:rsidRPr="00BC070F" w:rsidRDefault="00294C4F" w:rsidP="0085256C">
            <w:pPr>
              <w:rPr>
                <w:rFonts w:cstheme="minorHAnsi"/>
                <w:b/>
                <w:i/>
                <w:sz w:val="20"/>
                <w:szCs w:val="20"/>
              </w:rPr>
            </w:pPr>
            <w:r w:rsidRPr="00BC070F">
              <w:rPr>
                <w:rFonts w:cstheme="minorHAnsi"/>
                <w:b/>
                <w:i/>
                <w:sz w:val="20"/>
                <w:szCs w:val="20"/>
              </w:rPr>
              <w:t>21</w:t>
            </w:r>
          </w:p>
        </w:tc>
        <w:tc>
          <w:tcPr>
            <w:tcW w:w="3546" w:type="dxa"/>
            <w:tcBorders>
              <w:top w:val="nil"/>
              <w:left w:val="single" w:sz="4" w:space="0" w:color="auto"/>
              <w:bottom w:val="single" w:sz="4" w:space="0" w:color="auto"/>
              <w:right w:val="single" w:sz="4" w:space="0" w:color="auto"/>
            </w:tcBorders>
            <w:shd w:val="clear" w:color="000000" w:fill="FFFFFF"/>
            <w:vAlign w:val="bottom"/>
          </w:tcPr>
          <w:p w:rsidR="00294C4F" w:rsidRPr="0028476F" w:rsidRDefault="00294C4F" w:rsidP="0085256C">
            <w:pPr>
              <w:rPr>
                <w:rFonts w:ascii="Calibri" w:hAnsi="Calibri" w:cs="Calibri"/>
                <w:color w:val="000000"/>
                <w:sz w:val="20"/>
                <w:szCs w:val="20"/>
              </w:rPr>
            </w:pPr>
            <w:r w:rsidRPr="0028476F">
              <w:rPr>
                <w:rFonts w:ascii="Calibri" w:hAnsi="Calibri" w:cs="Calibri"/>
                <w:color w:val="000000"/>
                <w:sz w:val="20"/>
                <w:szCs w:val="20"/>
              </w:rPr>
              <w:t>Don't know</w:t>
            </w:r>
          </w:p>
        </w:tc>
        <w:tc>
          <w:tcPr>
            <w:tcW w:w="1502" w:type="dxa"/>
            <w:tcBorders>
              <w:top w:val="nil"/>
              <w:left w:val="single" w:sz="4" w:space="0" w:color="auto"/>
              <w:bottom w:val="single" w:sz="4" w:space="0" w:color="auto"/>
              <w:right w:val="single" w:sz="4" w:space="0" w:color="auto"/>
            </w:tcBorders>
            <w:shd w:val="clear" w:color="000000" w:fill="FFFFFF"/>
            <w:vAlign w:val="bottom"/>
          </w:tcPr>
          <w:p w:rsidR="00294C4F" w:rsidRPr="0028476F" w:rsidRDefault="00294C4F" w:rsidP="0085256C">
            <w:pPr>
              <w:rPr>
                <w:rFonts w:ascii="Calibri" w:hAnsi="Calibri" w:cs="Calibri"/>
                <w:color w:val="000000"/>
                <w:sz w:val="20"/>
                <w:szCs w:val="20"/>
              </w:rPr>
            </w:pPr>
            <w:r w:rsidRPr="0028476F">
              <w:rPr>
                <w:rFonts w:ascii="Calibri" w:hAnsi="Calibri" w:cs="Calibri"/>
                <w:color w:val="000000"/>
                <w:sz w:val="20"/>
                <w:szCs w:val="20"/>
              </w:rPr>
              <w:t>Immigration</w:t>
            </w:r>
          </w:p>
        </w:tc>
        <w:tc>
          <w:tcPr>
            <w:tcW w:w="2665" w:type="dxa"/>
            <w:tcBorders>
              <w:top w:val="nil"/>
              <w:left w:val="single" w:sz="4" w:space="0" w:color="auto"/>
              <w:bottom w:val="single" w:sz="4" w:space="0" w:color="auto"/>
              <w:right w:val="single" w:sz="4" w:space="0" w:color="auto"/>
            </w:tcBorders>
            <w:shd w:val="clear" w:color="000000" w:fill="FFFFFF"/>
            <w:vAlign w:val="bottom"/>
          </w:tcPr>
          <w:p w:rsidR="00294C4F" w:rsidRPr="0028476F" w:rsidRDefault="00294C4F" w:rsidP="0085256C">
            <w:pPr>
              <w:rPr>
                <w:rFonts w:ascii="Calibri" w:hAnsi="Calibri" w:cs="Calibri"/>
                <w:color w:val="000000"/>
                <w:sz w:val="20"/>
                <w:szCs w:val="20"/>
              </w:rPr>
            </w:pPr>
            <w:r w:rsidRPr="0028476F">
              <w:rPr>
                <w:rFonts w:ascii="Calibri" w:hAnsi="Calibri" w:cs="Calibri"/>
                <w:color w:val="000000"/>
                <w:sz w:val="20"/>
                <w:szCs w:val="20"/>
              </w:rPr>
              <w:t>No influence</w:t>
            </w:r>
          </w:p>
        </w:tc>
        <w:tc>
          <w:tcPr>
            <w:tcW w:w="2976" w:type="dxa"/>
          </w:tcPr>
          <w:p w:rsidR="00294C4F" w:rsidRPr="0028476F" w:rsidRDefault="00294C4F" w:rsidP="0085256C">
            <w:pPr>
              <w:rPr>
                <w:rFonts w:cstheme="minorHAnsi"/>
                <w:sz w:val="20"/>
                <w:szCs w:val="20"/>
              </w:rPr>
            </w:pPr>
            <w:proofErr w:type="spellStart"/>
            <w:r w:rsidRPr="0028476F">
              <w:rPr>
                <w:rFonts w:cstheme="minorHAnsi"/>
                <w:sz w:val="20"/>
                <w:szCs w:val="20"/>
              </w:rPr>
              <w:t>Karjalainen</w:t>
            </w:r>
            <w:proofErr w:type="spellEnd"/>
            <w:r w:rsidRPr="0028476F">
              <w:rPr>
                <w:rFonts w:cstheme="minorHAnsi"/>
                <w:sz w:val="20"/>
                <w:szCs w:val="20"/>
              </w:rPr>
              <w:t xml:space="preserve"> &amp; </w:t>
            </w:r>
            <w:proofErr w:type="spellStart"/>
            <w:r w:rsidRPr="0028476F">
              <w:rPr>
                <w:rFonts w:cstheme="minorHAnsi"/>
                <w:sz w:val="20"/>
                <w:szCs w:val="20"/>
              </w:rPr>
              <w:t>Rapeli</w:t>
            </w:r>
            <w:proofErr w:type="spellEnd"/>
            <w:r w:rsidRPr="0028476F">
              <w:rPr>
                <w:rFonts w:cstheme="minorHAnsi"/>
                <w:sz w:val="20"/>
                <w:szCs w:val="20"/>
              </w:rPr>
              <w:t xml:space="preserve">  (2015)</w:t>
            </w:r>
          </w:p>
        </w:tc>
      </w:tr>
      <w:tr w:rsidR="00294C4F" w:rsidTr="00BC070F">
        <w:tc>
          <w:tcPr>
            <w:tcW w:w="510" w:type="dxa"/>
            <w:shd w:val="clear" w:color="auto" w:fill="ABD9F8" w:themeFill="accent1" w:themeFillTint="66"/>
            <w:vAlign w:val="center"/>
          </w:tcPr>
          <w:p w:rsidR="00294C4F" w:rsidRPr="00BC070F" w:rsidRDefault="00294C4F" w:rsidP="0085256C">
            <w:pPr>
              <w:rPr>
                <w:rFonts w:cstheme="minorHAnsi"/>
                <w:b/>
                <w:i/>
                <w:sz w:val="20"/>
                <w:szCs w:val="20"/>
              </w:rPr>
            </w:pPr>
            <w:r w:rsidRPr="00BC070F">
              <w:rPr>
                <w:rFonts w:cstheme="minorHAnsi"/>
                <w:b/>
                <w:i/>
                <w:sz w:val="20"/>
                <w:szCs w:val="20"/>
              </w:rPr>
              <w:t>22</w:t>
            </w:r>
          </w:p>
        </w:tc>
        <w:tc>
          <w:tcPr>
            <w:tcW w:w="3546" w:type="dxa"/>
            <w:tcBorders>
              <w:top w:val="nil"/>
              <w:left w:val="single" w:sz="4" w:space="0" w:color="auto"/>
              <w:bottom w:val="single" w:sz="4" w:space="0" w:color="auto"/>
              <w:right w:val="single" w:sz="4" w:space="0" w:color="auto"/>
            </w:tcBorders>
            <w:shd w:val="clear" w:color="auto" w:fill="ABD9F8" w:themeFill="accent1" w:themeFillTint="66"/>
            <w:vAlign w:val="bottom"/>
          </w:tcPr>
          <w:p w:rsidR="00294C4F" w:rsidRPr="0028476F" w:rsidRDefault="00294C4F" w:rsidP="0085256C">
            <w:pPr>
              <w:rPr>
                <w:rFonts w:ascii="Calibri" w:hAnsi="Calibri" w:cs="Calibri"/>
                <w:color w:val="000000"/>
                <w:sz w:val="20"/>
                <w:szCs w:val="20"/>
              </w:rPr>
            </w:pPr>
            <w:r w:rsidRPr="0028476F">
              <w:rPr>
                <w:rFonts w:ascii="Calibri" w:hAnsi="Calibri" w:cs="Calibri"/>
                <w:color w:val="000000"/>
                <w:sz w:val="20"/>
                <w:szCs w:val="20"/>
              </w:rPr>
              <w:t>Don't know</w:t>
            </w:r>
          </w:p>
        </w:tc>
        <w:tc>
          <w:tcPr>
            <w:tcW w:w="1502" w:type="dxa"/>
            <w:tcBorders>
              <w:top w:val="nil"/>
              <w:left w:val="single" w:sz="4" w:space="0" w:color="auto"/>
              <w:bottom w:val="single" w:sz="4" w:space="0" w:color="auto"/>
              <w:right w:val="single" w:sz="4" w:space="0" w:color="auto"/>
            </w:tcBorders>
            <w:shd w:val="clear" w:color="auto" w:fill="ABD9F8" w:themeFill="accent1" w:themeFillTint="66"/>
            <w:vAlign w:val="bottom"/>
          </w:tcPr>
          <w:p w:rsidR="00294C4F" w:rsidRPr="0028476F" w:rsidRDefault="00294C4F" w:rsidP="0085256C">
            <w:pPr>
              <w:rPr>
                <w:rFonts w:ascii="Calibri" w:hAnsi="Calibri" w:cs="Calibri"/>
                <w:color w:val="000000"/>
                <w:sz w:val="20"/>
                <w:szCs w:val="20"/>
              </w:rPr>
            </w:pPr>
            <w:r w:rsidRPr="0028476F">
              <w:rPr>
                <w:rFonts w:ascii="Calibri" w:hAnsi="Calibri" w:cs="Calibri"/>
                <w:color w:val="000000"/>
                <w:sz w:val="20"/>
                <w:szCs w:val="20"/>
              </w:rPr>
              <w:t>Education</w:t>
            </w:r>
          </w:p>
        </w:tc>
        <w:tc>
          <w:tcPr>
            <w:tcW w:w="2665" w:type="dxa"/>
            <w:tcBorders>
              <w:top w:val="nil"/>
              <w:left w:val="single" w:sz="4" w:space="0" w:color="auto"/>
              <w:bottom w:val="single" w:sz="4" w:space="0" w:color="auto"/>
              <w:right w:val="single" w:sz="4" w:space="0" w:color="auto"/>
            </w:tcBorders>
            <w:shd w:val="clear" w:color="auto" w:fill="ABD9F8" w:themeFill="accent1" w:themeFillTint="66"/>
            <w:vAlign w:val="bottom"/>
          </w:tcPr>
          <w:p w:rsidR="00294C4F" w:rsidRPr="0028476F" w:rsidRDefault="00294C4F" w:rsidP="0085256C">
            <w:pPr>
              <w:rPr>
                <w:rFonts w:ascii="Calibri" w:hAnsi="Calibri" w:cs="Calibri"/>
                <w:color w:val="000000"/>
                <w:sz w:val="20"/>
                <w:szCs w:val="20"/>
              </w:rPr>
            </w:pPr>
            <w:r w:rsidRPr="0028476F">
              <w:rPr>
                <w:rFonts w:ascii="Calibri" w:hAnsi="Calibri" w:cs="Calibri"/>
                <w:color w:val="000000"/>
                <w:sz w:val="20"/>
                <w:szCs w:val="20"/>
              </w:rPr>
              <w:t>Don't know</w:t>
            </w:r>
          </w:p>
        </w:tc>
        <w:tc>
          <w:tcPr>
            <w:tcW w:w="2976" w:type="dxa"/>
            <w:shd w:val="clear" w:color="auto" w:fill="ABD9F8" w:themeFill="accent1" w:themeFillTint="66"/>
          </w:tcPr>
          <w:p w:rsidR="00294C4F" w:rsidRPr="0028476F" w:rsidRDefault="00294C4F" w:rsidP="0085256C">
            <w:pPr>
              <w:rPr>
                <w:rFonts w:cstheme="minorHAnsi"/>
                <w:sz w:val="20"/>
                <w:szCs w:val="20"/>
              </w:rPr>
            </w:pPr>
            <w:r w:rsidRPr="0028476F">
              <w:rPr>
                <w:rFonts w:cstheme="minorHAnsi"/>
                <w:sz w:val="20"/>
                <w:szCs w:val="20"/>
              </w:rPr>
              <w:t>Bulling et al. (2013)</w:t>
            </w:r>
          </w:p>
        </w:tc>
      </w:tr>
      <w:tr w:rsidR="00294C4F" w:rsidTr="0085256C">
        <w:tc>
          <w:tcPr>
            <w:tcW w:w="510" w:type="dxa"/>
            <w:vAlign w:val="center"/>
          </w:tcPr>
          <w:p w:rsidR="00294C4F" w:rsidRPr="00BC070F" w:rsidRDefault="00294C4F" w:rsidP="0085256C">
            <w:pPr>
              <w:rPr>
                <w:rFonts w:cstheme="minorHAnsi"/>
                <w:b/>
                <w:i/>
                <w:sz w:val="20"/>
                <w:szCs w:val="20"/>
              </w:rPr>
            </w:pPr>
            <w:r w:rsidRPr="00BC070F">
              <w:rPr>
                <w:rFonts w:cstheme="minorHAnsi"/>
                <w:b/>
                <w:i/>
                <w:sz w:val="20"/>
                <w:szCs w:val="20"/>
              </w:rPr>
              <w:t>23</w:t>
            </w:r>
          </w:p>
        </w:tc>
        <w:tc>
          <w:tcPr>
            <w:tcW w:w="3546" w:type="dxa"/>
            <w:tcBorders>
              <w:top w:val="nil"/>
              <w:left w:val="single" w:sz="4" w:space="0" w:color="auto"/>
              <w:bottom w:val="single" w:sz="4" w:space="0" w:color="auto"/>
              <w:right w:val="single" w:sz="4" w:space="0" w:color="auto"/>
            </w:tcBorders>
            <w:shd w:val="clear" w:color="auto" w:fill="auto"/>
            <w:vAlign w:val="bottom"/>
          </w:tcPr>
          <w:p w:rsidR="00294C4F" w:rsidRPr="0028476F" w:rsidRDefault="00294C4F" w:rsidP="0085256C">
            <w:pPr>
              <w:rPr>
                <w:rFonts w:ascii="Calibri" w:hAnsi="Calibri" w:cs="Calibri"/>
                <w:color w:val="000000"/>
                <w:sz w:val="20"/>
                <w:szCs w:val="20"/>
              </w:rPr>
            </w:pPr>
            <w:r w:rsidRPr="0028476F">
              <w:rPr>
                <w:rFonts w:ascii="Calibri" w:hAnsi="Calibri" w:cs="Calibri"/>
                <w:color w:val="000000"/>
                <w:sz w:val="20"/>
                <w:szCs w:val="20"/>
              </w:rPr>
              <w:t>Don't know</w:t>
            </w:r>
          </w:p>
        </w:tc>
        <w:tc>
          <w:tcPr>
            <w:tcW w:w="1502" w:type="dxa"/>
            <w:tcBorders>
              <w:top w:val="nil"/>
              <w:left w:val="single" w:sz="4" w:space="0" w:color="auto"/>
              <w:bottom w:val="single" w:sz="4" w:space="0" w:color="auto"/>
              <w:right w:val="single" w:sz="4" w:space="0" w:color="auto"/>
            </w:tcBorders>
            <w:shd w:val="clear" w:color="000000" w:fill="FFFFFF"/>
            <w:vAlign w:val="bottom"/>
          </w:tcPr>
          <w:p w:rsidR="00294C4F" w:rsidRPr="0028476F" w:rsidRDefault="00294C4F" w:rsidP="0085256C">
            <w:pPr>
              <w:rPr>
                <w:rFonts w:ascii="Calibri" w:hAnsi="Calibri" w:cs="Calibri"/>
                <w:color w:val="000000"/>
                <w:sz w:val="20"/>
                <w:szCs w:val="20"/>
              </w:rPr>
            </w:pPr>
            <w:r w:rsidRPr="0028476F">
              <w:rPr>
                <w:rFonts w:ascii="Calibri" w:hAnsi="Calibri" w:cs="Calibri"/>
                <w:color w:val="000000"/>
                <w:sz w:val="20"/>
                <w:szCs w:val="20"/>
              </w:rPr>
              <w:t>Immigration</w:t>
            </w:r>
          </w:p>
        </w:tc>
        <w:tc>
          <w:tcPr>
            <w:tcW w:w="2665" w:type="dxa"/>
            <w:tcBorders>
              <w:top w:val="nil"/>
              <w:left w:val="single" w:sz="4" w:space="0" w:color="auto"/>
              <w:bottom w:val="single" w:sz="4" w:space="0" w:color="auto"/>
              <w:right w:val="single" w:sz="4" w:space="0" w:color="auto"/>
            </w:tcBorders>
            <w:shd w:val="clear" w:color="000000" w:fill="FFFFFF"/>
            <w:vAlign w:val="bottom"/>
          </w:tcPr>
          <w:p w:rsidR="00294C4F" w:rsidRPr="0028476F" w:rsidRDefault="00294C4F" w:rsidP="0085256C">
            <w:pPr>
              <w:rPr>
                <w:rFonts w:ascii="Calibri" w:hAnsi="Calibri" w:cs="Calibri"/>
                <w:color w:val="000000"/>
                <w:sz w:val="20"/>
                <w:szCs w:val="20"/>
              </w:rPr>
            </w:pPr>
            <w:r w:rsidRPr="0028476F">
              <w:rPr>
                <w:rFonts w:ascii="Calibri" w:hAnsi="Calibri" w:cs="Calibri"/>
                <w:color w:val="000000"/>
                <w:sz w:val="20"/>
                <w:szCs w:val="20"/>
              </w:rPr>
              <w:t>Don't know</w:t>
            </w:r>
          </w:p>
        </w:tc>
        <w:tc>
          <w:tcPr>
            <w:tcW w:w="2976" w:type="dxa"/>
          </w:tcPr>
          <w:p w:rsidR="00294C4F" w:rsidRPr="0028476F" w:rsidRDefault="00294C4F" w:rsidP="0085256C">
            <w:pPr>
              <w:rPr>
                <w:rFonts w:cstheme="minorHAnsi"/>
                <w:sz w:val="20"/>
                <w:szCs w:val="20"/>
              </w:rPr>
            </w:pPr>
            <w:proofErr w:type="spellStart"/>
            <w:r w:rsidRPr="0028476F">
              <w:rPr>
                <w:rFonts w:cstheme="minorHAnsi"/>
                <w:sz w:val="20"/>
                <w:szCs w:val="20"/>
              </w:rPr>
              <w:t>Grönlund</w:t>
            </w:r>
            <w:proofErr w:type="spellEnd"/>
            <w:r w:rsidRPr="0028476F">
              <w:rPr>
                <w:rFonts w:cstheme="minorHAnsi"/>
                <w:sz w:val="20"/>
                <w:szCs w:val="20"/>
              </w:rPr>
              <w:t xml:space="preserve"> et al. (2010)</w:t>
            </w:r>
          </w:p>
        </w:tc>
      </w:tr>
    </w:tbl>
    <w:p w:rsidR="00AF399C" w:rsidRPr="00AF399C" w:rsidRDefault="00AF399C" w:rsidP="00AF399C">
      <w:pPr>
        <w:jc w:val="both"/>
        <w:rPr>
          <w:i/>
          <w:sz w:val="24"/>
          <w:szCs w:val="24"/>
          <w:lang w:val="it-IT"/>
        </w:rPr>
      </w:pPr>
    </w:p>
    <w:p w:rsidR="00AF399C" w:rsidRPr="0010523C" w:rsidRDefault="00AF399C" w:rsidP="00AF399C">
      <w:pPr>
        <w:numPr>
          <w:ilvl w:val="0"/>
          <w:numId w:val="10"/>
        </w:numPr>
        <w:jc w:val="both"/>
        <w:rPr>
          <w:b/>
          <w:i/>
          <w:color w:val="0B5484" w:themeColor="accent1" w:themeShade="80"/>
          <w:sz w:val="24"/>
          <w:szCs w:val="24"/>
          <w:lang w:val="it-IT"/>
        </w:rPr>
      </w:pPr>
      <w:r w:rsidRPr="0010523C">
        <w:rPr>
          <w:b/>
          <w:i/>
          <w:color w:val="0B5484" w:themeColor="accent1" w:themeShade="80"/>
          <w:sz w:val="24"/>
          <w:szCs w:val="24"/>
        </w:rPr>
        <w:t>Are there any trends across the cases in each country that suggest certain types of social policy and practice are more open to evidence synthesised by mini-publics than others?</w:t>
      </w:r>
    </w:p>
    <w:p w:rsidR="00AF399C" w:rsidRPr="00AF399C" w:rsidRDefault="00AF399C" w:rsidP="00AF399C">
      <w:pPr>
        <w:jc w:val="both"/>
        <w:rPr>
          <w:sz w:val="24"/>
          <w:szCs w:val="24"/>
        </w:rPr>
      </w:pPr>
      <w:r w:rsidRPr="00AF399C">
        <w:rPr>
          <w:sz w:val="24"/>
          <w:szCs w:val="24"/>
        </w:rPr>
        <w:t xml:space="preserve">There are no suggestions that certain types of policy are more open to evidence synthesised by mini-publics than others, although timing is relevant. The GM food mini-publics </w:t>
      </w:r>
      <w:r w:rsidR="00294C4F">
        <w:rPr>
          <w:sz w:val="24"/>
          <w:szCs w:val="24"/>
        </w:rPr>
        <w:t xml:space="preserve">(case no. 16) </w:t>
      </w:r>
      <w:r w:rsidRPr="00AF399C">
        <w:rPr>
          <w:sz w:val="24"/>
          <w:szCs w:val="24"/>
        </w:rPr>
        <w:t xml:space="preserve">was evaluated as being held too late </w:t>
      </w:r>
      <w:r w:rsidRPr="00AF399C">
        <w:rPr>
          <w:sz w:val="24"/>
          <w:szCs w:val="24"/>
        </w:rPr>
        <w:fldChar w:fldCharType="begin" w:fldLock="1"/>
      </w:r>
      <w:r w:rsidRPr="00AF399C">
        <w:rPr>
          <w:sz w:val="24"/>
          <w:szCs w:val="24"/>
        </w:rPr>
        <w:instrText>ADDIN CSL_CITATION { "citationItems" : [ { "id" : "ITEM-1", "itemData" : { "author" : [ { "dropping-particle" : "", "family" : "Joss", "given" : "Simon", "non-dropping-particle" : "", "parse-names" : false, "suffix" : "" }, { "dropping-particle" : "", "family" : "Kl\u00fcver", "given" : "Lars", "non-dropping-particle" : "", "parse-names" : false, "suffix" : "" } ], "id" : "ITEM-1", "issued" : { "date-parts" : [ [ "2001" ] ] }, "number-of-pages" : "1-92", "title" : "The Denmark National Report: Assessing Debate and Participative Technology Assessment (ADAPTA) .", "type" : "report" }, "locator" : "46", "uris" : [ "http://www.mendeley.com/documents/?uuid=3144039f-1601-4cc4-8972-008248a8ceca" ] } ], "mendeley" : { "formattedCitation" : "(Joss &amp; Kl\u00fcver 2001, p.46)", "manualFormatting" : "(Joss &amp; Kl\u00fcver 2001, p.46;", "plainTextFormattedCitation" : "(Joss &amp; Kl\u00fcver 2001, p.46)", "previouslyFormattedCitation" : "(Joss &amp; Kl\u00fcver 2001, p.46)" }, "properties" : {  }, "schema" : "https://github.com/citation-style-language/schema/raw/master/csl-citation.json" }</w:instrText>
      </w:r>
      <w:r w:rsidRPr="00AF399C">
        <w:rPr>
          <w:sz w:val="24"/>
          <w:szCs w:val="24"/>
        </w:rPr>
        <w:fldChar w:fldCharType="separate"/>
      </w:r>
      <w:r w:rsidRPr="00AF399C">
        <w:rPr>
          <w:sz w:val="24"/>
          <w:szCs w:val="24"/>
        </w:rPr>
        <w:t>(Joss &amp; Klüver</w:t>
      </w:r>
      <w:r w:rsidR="00FD592E">
        <w:rPr>
          <w:sz w:val="24"/>
          <w:szCs w:val="24"/>
        </w:rPr>
        <w:t xml:space="preserve"> 2001: </w:t>
      </w:r>
      <w:r w:rsidRPr="00AF399C">
        <w:rPr>
          <w:sz w:val="24"/>
          <w:szCs w:val="24"/>
        </w:rPr>
        <w:t>46;</w:t>
      </w:r>
      <w:r w:rsidRPr="00AF399C">
        <w:rPr>
          <w:sz w:val="24"/>
          <w:szCs w:val="24"/>
        </w:rPr>
        <w:fldChar w:fldCharType="end"/>
      </w:r>
      <w:r w:rsidRPr="00AF399C">
        <w:rPr>
          <w:sz w:val="24"/>
          <w:szCs w:val="24"/>
        </w:rPr>
        <w:t xml:space="preserve"> </w:t>
      </w:r>
      <w:r w:rsidRPr="00AF399C">
        <w:rPr>
          <w:sz w:val="24"/>
          <w:szCs w:val="24"/>
        </w:rPr>
        <w:fldChar w:fldCharType="begin" w:fldLock="1"/>
      </w:r>
      <w:r w:rsidRPr="00AF399C">
        <w:rPr>
          <w:sz w:val="24"/>
          <w:szCs w:val="24"/>
        </w:rPr>
        <w:instrText>ADDIN CSL_CITATION { "citationItems" : [ { "id" : "ITEM-1", "itemData" : { "author" : [ { "dropping-particle" : "", "family" : "Dryzek", "given" : "John S", "non-dropping-particle" : "", "parse-names" : false, "suffix" : "" }, { "dropping-particle" : "", "family" : "Tucker", "given" : "Avieser", "non-dropping-particle" : "", "parse-names" : false, "suffix" : "" } ], "container-title" : "Public Administration Review", "id" : "ITEM-1", "issue" : "5", "issued" : { "date-parts" : [ [ "2008" ] ] }, "page" : "864-876", "title" : "Deliberative Innovation to Different Effect: Consensus Conferences in Denmark, France, and the United States", "type" : "article-journal", "volume" : "68" }, "uris" : [ "http://www.mendeley.com/documents/?uuid=8082d264-575b-3c67-8beb-ad53e56f7ebb" ] } ], "mendeley" : { "formattedCitation" : "(Dryzek &amp; Avieser Tucker 2008)", "manualFormatting" : "Dryzek &amp; Avieser Tucker 2008)", "plainTextFormattedCitation" : "(Dryzek &amp; Avieser Tucker 2008)", "previouslyFormattedCitation" : "(Dryzek &amp; Avieser Tucker 2008)" }, "properties" : {  }, "schema" : "https://github.com/citation-style-language/schema/raw/master/csl-citation.json" }</w:instrText>
      </w:r>
      <w:r w:rsidRPr="00AF399C">
        <w:rPr>
          <w:sz w:val="24"/>
          <w:szCs w:val="24"/>
        </w:rPr>
        <w:fldChar w:fldCharType="separate"/>
      </w:r>
      <w:r w:rsidR="00FD592E">
        <w:rPr>
          <w:sz w:val="24"/>
          <w:szCs w:val="24"/>
        </w:rPr>
        <w:t xml:space="preserve">Dryzek &amp; </w:t>
      </w:r>
      <w:r w:rsidRPr="00AF399C">
        <w:rPr>
          <w:sz w:val="24"/>
          <w:szCs w:val="24"/>
        </w:rPr>
        <w:t>Tucker 2008)</w:t>
      </w:r>
      <w:r w:rsidRPr="00AF399C">
        <w:rPr>
          <w:sz w:val="24"/>
          <w:szCs w:val="24"/>
        </w:rPr>
        <w:fldChar w:fldCharType="end"/>
      </w:r>
      <w:r w:rsidRPr="00AF399C">
        <w:rPr>
          <w:sz w:val="24"/>
          <w:szCs w:val="24"/>
        </w:rPr>
        <w:t>, as it was not carried out during the media and wider public debate</w:t>
      </w:r>
      <w:r w:rsidR="0010523C">
        <w:rPr>
          <w:sz w:val="24"/>
          <w:szCs w:val="24"/>
        </w:rPr>
        <w:t>, but rather</w:t>
      </w:r>
      <w:r w:rsidRPr="00AF399C">
        <w:rPr>
          <w:sz w:val="24"/>
          <w:szCs w:val="24"/>
        </w:rPr>
        <w:t xml:space="preserve"> </w:t>
      </w:r>
      <w:r w:rsidR="0010523C">
        <w:rPr>
          <w:sz w:val="24"/>
          <w:szCs w:val="24"/>
        </w:rPr>
        <w:t>a year later</w:t>
      </w:r>
      <w:r w:rsidRPr="00AF399C">
        <w:rPr>
          <w:sz w:val="24"/>
          <w:szCs w:val="24"/>
        </w:rPr>
        <w:t xml:space="preserve">. It was suggested that the evidence presented and subsequent deliberation would have been more effective when </w:t>
      </w:r>
      <w:r w:rsidR="005A7A23">
        <w:rPr>
          <w:sz w:val="24"/>
          <w:szCs w:val="24"/>
        </w:rPr>
        <w:t>it</w:t>
      </w:r>
      <w:r w:rsidRPr="00AF399C">
        <w:rPr>
          <w:sz w:val="24"/>
          <w:szCs w:val="24"/>
        </w:rPr>
        <w:t xml:space="preserve"> was a hot topic. </w:t>
      </w:r>
    </w:p>
    <w:p w:rsidR="00AF399C" w:rsidRDefault="001E7CB0" w:rsidP="00AF399C">
      <w:pPr>
        <w:jc w:val="both"/>
        <w:rPr>
          <w:i/>
          <w:sz w:val="24"/>
          <w:szCs w:val="24"/>
          <w:lang w:val="it-IT"/>
        </w:rPr>
      </w:pPr>
      <w:r>
        <w:rPr>
          <w:noProof/>
          <w:lang w:eastAsia="en-GB"/>
        </w:rPr>
        <w:lastRenderedPageBreak/>
        <mc:AlternateContent>
          <mc:Choice Requires="wps">
            <w:drawing>
              <wp:anchor distT="45720" distB="45720" distL="114300" distR="114300" simplePos="0" relativeHeight="251665408" behindDoc="0" locked="0" layoutInCell="1" allowOverlap="1" wp14:anchorId="798591C2" wp14:editId="1435BC16">
                <wp:simplePos x="0" y="0"/>
                <wp:positionH relativeFrom="margin">
                  <wp:posOffset>-226060</wp:posOffset>
                </wp:positionH>
                <wp:positionV relativeFrom="paragraph">
                  <wp:posOffset>325120</wp:posOffset>
                </wp:positionV>
                <wp:extent cx="6425565" cy="6237605"/>
                <wp:effectExtent l="0" t="0" r="13335" b="1079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5565" cy="6237605"/>
                        </a:xfrm>
                        <a:prstGeom prst="rect">
                          <a:avLst/>
                        </a:prstGeom>
                        <a:ln>
                          <a:headEnd/>
                          <a:tailEnd/>
                        </a:ln>
                      </wps:spPr>
                      <wps:style>
                        <a:lnRef idx="1">
                          <a:schemeClr val="accent1"/>
                        </a:lnRef>
                        <a:fillRef idx="2">
                          <a:schemeClr val="accent1"/>
                        </a:fillRef>
                        <a:effectRef idx="1">
                          <a:schemeClr val="accent1"/>
                        </a:effectRef>
                        <a:fontRef idx="minor">
                          <a:schemeClr val="dk1"/>
                        </a:fontRef>
                      </wps:style>
                      <wps:txbx>
                        <w:txbxContent>
                          <w:p w:rsidR="0005094B" w:rsidRPr="00C12FCE" w:rsidRDefault="0005094B" w:rsidP="001E7CB0">
                            <w:pPr>
                              <w:jc w:val="both"/>
                              <w:rPr>
                                <w:b/>
                                <w:sz w:val="28"/>
                                <w:szCs w:val="28"/>
                              </w:rPr>
                            </w:pPr>
                            <w:r w:rsidRPr="00C12FCE">
                              <w:rPr>
                                <w:b/>
                                <w:sz w:val="28"/>
                                <w:szCs w:val="28"/>
                              </w:rPr>
                              <w:t xml:space="preserve">Consensus Conference on Physical Activity in Schools, </w:t>
                            </w:r>
                            <w:proofErr w:type="spellStart"/>
                            <w:r w:rsidRPr="00C12FCE">
                              <w:rPr>
                                <w:b/>
                                <w:sz w:val="28"/>
                                <w:szCs w:val="28"/>
                              </w:rPr>
                              <w:t>Bangsbo</w:t>
                            </w:r>
                            <w:proofErr w:type="spellEnd"/>
                            <w:r w:rsidRPr="00C12FCE">
                              <w:rPr>
                                <w:b/>
                                <w:sz w:val="28"/>
                                <w:szCs w:val="28"/>
                              </w:rPr>
                              <w:t xml:space="preserve"> 2016</w:t>
                            </w:r>
                          </w:p>
                          <w:p w:rsidR="0005094B" w:rsidRDefault="0005094B" w:rsidP="001E7CB0">
                            <w:pPr>
                              <w:jc w:val="both"/>
                              <w:rPr>
                                <w:b/>
                              </w:rPr>
                            </w:pPr>
                            <w:r>
                              <w:rPr>
                                <w:b/>
                              </w:rPr>
                              <w:t>Background</w:t>
                            </w:r>
                          </w:p>
                          <w:p w:rsidR="0005094B" w:rsidRDefault="0005094B" w:rsidP="001E7CB0">
                            <w:pPr>
                              <w:jc w:val="both"/>
                            </w:pPr>
                            <w:r>
                              <w:t xml:space="preserve">In 2016 a Consensus Conference in </w:t>
                            </w:r>
                            <w:proofErr w:type="spellStart"/>
                            <w:r>
                              <w:t>Snekkersten</w:t>
                            </w:r>
                            <w:proofErr w:type="spellEnd"/>
                            <w:r>
                              <w:t xml:space="preserve">, Denmark was organised around the issue of physical activity in schools (case no.17).  The mini-public participants were from eight countries, and consisted of 24 academic researchers from disciplines related to various disciplines around physical fitness. The participants reached agreement on a 21 item statement around the themes of ‘fitness and health’, cognitive functioning’ engagement, motivation, psychological well-being’ and ‘social inclusion’. The statement includes educational and physical activity implementation strategies, for example: </w:t>
                            </w:r>
                            <w:r>
                              <w:rPr>
                                <w:i/>
                              </w:rPr>
                              <w:t>‘</w:t>
                            </w:r>
                            <w:r w:rsidRPr="00A219B2">
                              <w:t>Whole school approaches and the provision of physical activity-conducive environments such as bike lanes, parks and playgrounds, are both effective strategies for providing equitable access to, and enhancing physical activity for, children and youth</w:t>
                            </w:r>
                            <w:r w:rsidRPr="002C006E">
                              <w:rPr>
                                <w:i/>
                              </w:rPr>
                              <w:t>.</w:t>
                            </w:r>
                            <w:r>
                              <w:rPr>
                                <w:i/>
                              </w:rPr>
                              <w:t>’</w:t>
                            </w:r>
                            <w:r>
                              <w:t xml:space="preserve"> (</w:t>
                            </w:r>
                            <w:proofErr w:type="spellStart"/>
                            <w:r>
                              <w:t>Bangsbo</w:t>
                            </w:r>
                            <w:proofErr w:type="spellEnd"/>
                            <w:r>
                              <w:t xml:space="preserve"> et al. 2016: 1178). The process lasted 4 days. </w:t>
                            </w:r>
                          </w:p>
                          <w:p w:rsidR="0005094B" w:rsidRDefault="0005094B" w:rsidP="001E7CB0">
                            <w:pPr>
                              <w:jc w:val="both"/>
                              <w:rPr>
                                <w:b/>
                              </w:rPr>
                            </w:pPr>
                            <w:r>
                              <w:rPr>
                                <w:b/>
                              </w:rPr>
                              <w:t xml:space="preserve">Use of Witnesses </w:t>
                            </w:r>
                          </w:p>
                          <w:p w:rsidR="0005094B" w:rsidRPr="00871B93" w:rsidRDefault="0005094B" w:rsidP="001E7CB0">
                            <w:pPr>
                              <w:jc w:val="both"/>
                            </w:pPr>
                            <w:r>
                              <w:t>It is not clear if any expert witnesses took part. The participants themselves (n=24) took part in a combination of plenary and group activities suggesting they acted as ‘expert witness’ in the delivery of evidence from their specific discipline, before group discussions.</w:t>
                            </w:r>
                          </w:p>
                          <w:p w:rsidR="0005094B" w:rsidRDefault="0005094B" w:rsidP="001E7CB0">
                            <w:pPr>
                              <w:jc w:val="both"/>
                              <w:rPr>
                                <w:b/>
                              </w:rPr>
                            </w:pPr>
                            <w:r>
                              <w:rPr>
                                <w:b/>
                              </w:rPr>
                              <w:t xml:space="preserve">Use of Evidence </w:t>
                            </w:r>
                          </w:p>
                          <w:p w:rsidR="0005094B" w:rsidRDefault="0005094B" w:rsidP="001E7CB0">
                            <w:pPr>
                              <w:jc w:val="both"/>
                            </w:pPr>
                            <w:r>
                              <w:t>The authors report presentations of the ‘state-of-the art’ in each domain. Beyond this there is little indication on the types of presentation, or the influence on policy from the consensus statement and recommendations. Further, the purpose of the consensus conference is unclear, but we do know that it was organised and participated in by ‘experts’ from academic disciplines  with an interest in the impacts of physical activity, and provides strategies and guidance for schools.</w:t>
                            </w:r>
                          </w:p>
                          <w:p w:rsidR="0005094B" w:rsidRDefault="0005094B" w:rsidP="001E7CB0">
                            <w:pPr>
                              <w:jc w:val="both"/>
                              <w:rPr>
                                <w:b/>
                              </w:rPr>
                            </w:pPr>
                            <w:r>
                              <w:rPr>
                                <w:b/>
                              </w:rPr>
                              <w:t>Merits Further Research</w:t>
                            </w:r>
                          </w:p>
                          <w:p w:rsidR="0005094B" w:rsidRDefault="0005094B" w:rsidP="001E7CB0">
                            <w:pPr>
                              <w:jc w:val="both"/>
                            </w:pPr>
                            <w:r>
                              <w:t>This case study is particularly interesting, and in need of further investigation due to its recruitment of participant and expert witnesses. The organisers, expert witnesses, and participants seem to take on multiple roles throughout the consensus conference. From the reports available it seems the authors, also organised and took part in the conference, as well as acting as expert witnesses (</w:t>
                            </w:r>
                            <w:proofErr w:type="spellStart"/>
                            <w:r>
                              <w:t>Bangsbo</w:t>
                            </w:r>
                            <w:proofErr w:type="spellEnd"/>
                            <w:r>
                              <w:t xml:space="preserve"> et al. 2016). It would also be useful to establish the relationship to policy outcomes, particularly in the context of experts and participants dynamic outlined above. Finally, </w:t>
                            </w:r>
                            <w:r w:rsidRPr="00C12FCE">
                              <w:t>Out of the Danish cases it is the most orientated to social policy.</w:t>
                            </w:r>
                          </w:p>
                          <w:p w:rsidR="0005094B" w:rsidRPr="0045124A" w:rsidRDefault="0005094B" w:rsidP="001E7CB0">
                            <w:pPr>
                              <w:jc w:val="both"/>
                            </w:pPr>
                            <w:r w:rsidRPr="0045124A">
                              <w:t>From Finland the consensus conference on Finish health care reform</w:t>
                            </w:r>
                            <w:r>
                              <w:t xml:space="preserve"> (case no.18)</w:t>
                            </w:r>
                            <w:r w:rsidRPr="0045124A">
                              <w:t xml:space="preserve"> should be investigated (</w:t>
                            </w:r>
                            <w:proofErr w:type="spellStart"/>
                            <w:r w:rsidRPr="0045124A">
                              <w:t>Raisio</w:t>
                            </w:r>
                            <w:proofErr w:type="spellEnd"/>
                            <w:r w:rsidRPr="0045124A">
                              <w:t xml:space="preserve"> 2010). Similarly, out of the Finish cases it is the most orientated to social policy. However, at present we have little information on it.</w:t>
                            </w:r>
                          </w:p>
                          <w:p w:rsidR="0005094B" w:rsidRPr="00871B93" w:rsidRDefault="0005094B" w:rsidP="001E7CB0">
                            <w:pPr>
                              <w:jc w:val="both"/>
                            </w:pPr>
                          </w:p>
                          <w:p w:rsidR="0005094B" w:rsidRPr="00780D0F" w:rsidRDefault="0005094B" w:rsidP="001E7CB0">
                            <w:pPr>
                              <w:jc w:val="both"/>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8591C2" id="_x0000_s1028" type="#_x0000_t202" style="position:absolute;left:0;text-align:left;margin-left:-17.8pt;margin-top:25.6pt;width:505.95pt;height:491.1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" fillcolor="#70bff3 [2228]" strokecolor="#0d649e [1924]">
                <v:textbox>
                  <w:txbxContent>
                    <w:p w:rsidR="0005094B" w:rsidRPr="00C12FCE" w:rsidRDefault="0005094B" w:rsidP="001E7CB0">
                      <w:pPr>
                        <w:jc w:val="both"/>
                        <w:rPr>
                          <w:b/>
                          <w:sz w:val="28"/>
                          <w:szCs w:val="28"/>
                        </w:rPr>
                      </w:pPr>
                      <w:r w:rsidRPr="00C12FCE">
                        <w:rPr>
                          <w:b/>
                          <w:sz w:val="28"/>
                          <w:szCs w:val="28"/>
                        </w:rPr>
                        <w:t xml:space="preserve">Consensus Conference on Physical Activity in Schools, </w:t>
                      </w:r>
                      <w:proofErr w:type="spellStart"/>
                      <w:r w:rsidRPr="00C12FCE">
                        <w:rPr>
                          <w:b/>
                          <w:sz w:val="28"/>
                          <w:szCs w:val="28"/>
                        </w:rPr>
                        <w:t>Bangsbo</w:t>
                      </w:r>
                      <w:proofErr w:type="spellEnd"/>
                      <w:r w:rsidRPr="00C12FCE">
                        <w:rPr>
                          <w:b/>
                          <w:sz w:val="28"/>
                          <w:szCs w:val="28"/>
                        </w:rPr>
                        <w:t xml:space="preserve"> 2016</w:t>
                      </w:r>
                    </w:p>
                    <w:p w:rsidR="0005094B" w:rsidRDefault="0005094B" w:rsidP="001E7CB0">
                      <w:pPr>
                        <w:jc w:val="both"/>
                        <w:rPr>
                          <w:b/>
                        </w:rPr>
                      </w:pPr>
                      <w:r>
                        <w:rPr>
                          <w:b/>
                        </w:rPr>
                        <w:t>Background</w:t>
                      </w:r>
                    </w:p>
                    <w:p w:rsidR="0005094B" w:rsidRDefault="0005094B" w:rsidP="001E7CB0">
                      <w:pPr>
                        <w:jc w:val="both"/>
                      </w:pPr>
                      <w:r>
                        <w:t xml:space="preserve">In 2016 a Consensus Conference in </w:t>
                      </w:r>
                      <w:proofErr w:type="spellStart"/>
                      <w:r>
                        <w:t>Snekkersten</w:t>
                      </w:r>
                      <w:proofErr w:type="spellEnd"/>
                      <w:r>
                        <w:t xml:space="preserve">, Denmark was organised around the issue of physical activity in schools (case no.17).  The mini-public participants were from eight countries, and consisted of 24 academic researchers from disciplines related to various disciplines around physical fitness. The participants reached agreement on a 21 item statement around the themes of ‘fitness and health’, cognitive functioning’ engagement, motivation, psychological well-being’ and ‘social inclusion’. The statement includes educational and physical activity implementation strategies, for example: </w:t>
                      </w:r>
                      <w:r>
                        <w:rPr>
                          <w:i/>
                        </w:rPr>
                        <w:t>‘</w:t>
                      </w:r>
                      <w:r w:rsidRPr="00A219B2">
                        <w:t>Whole school approaches and the provision of physical activity-conducive environments such as bike lanes, parks and playgrounds, are both effective strategies for providing equitable access to, and enhancing physical activity for, children and youth</w:t>
                      </w:r>
                      <w:r w:rsidRPr="002C006E">
                        <w:rPr>
                          <w:i/>
                        </w:rPr>
                        <w:t>.</w:t>
                      </w:r>
                      <w:r>
                        <w:rPr>
                          <w:i/>
                        </w:rPr>
                        <w:t>’</w:t>
                      </w:r>
                      <w:r>
                        <w:t xml:space="preserve"> (</w:t>
                      </w:r>
                      <w:proofErr w:type="spellStart"/>
                      <w:r>
                        <w:t>Bangsbo</w:t>
                      </w:r>
                      <w:proofErr w:type="spellEnd"/>
                      <w:r>
                        <w:t xml:space="preserve"> et al. 2016: 1178). The process lasted 4 days. </w:t>
                      </w:r>
                    </w:p>
                    <w:p w:rsidR="0005094B" w:rsidRDefault="0005094B" w:rsidP="001E7CB0">
                      <w:pPr>
                        <w:jc w:val="both"/>
                        <w:rPr>
                          <w:b/>
                        </w:rPr>
                      </w:pPr>
                      <w:r>
                        <w:rPr>
                          <w:b/>
                        </w:rPr>
                        <w:t xml:space="preserve">Use of Witnesses </w:t>
                      </w:r>
                    </w:p>
                    <w:p w:rsidR="0005094B" w:rsidRPr="00871B93" w:rsidRDefault="0005094B" w:rsidP="001E7CB0">
                      <w:pPr>
                        <w:jc w:val="both"/>
                      </w:pPr>
                      <w:r>
                        <w:t>It is not clear if any expert witnesses took part. The participants themselves (n=24) took part in a combination of plenary and group activities suggesting they acted as ‘expert witness’ in the delivery of evidence from their specific discipline, before group discussions.</w:t>
                      </w:r>
                    </w:p>
                    <w:p w:rsidR="0005094B" w:rsidRDefault="0005094B" w:rsidP="001E7CB0">
                      <w:pPr>
                        <w:jc w:val="both"/>
                        <w:rPr>
                          <w:b/>
                        </w:rPr>
                      </w:pPr>
                      <w:r>
                        <w:rPr>
                          <w:b/>
                        </w:rPr>
                        <w:t xml:space="preserve">Use of Evidence </w:t>
                      </w:r>
                    </w:p>
                    <w:p w:rsidR="0005094B" w:rsidRDefault="0005094B" w:rsidP="001E7CB0">
                      <w:pPr>
                        <w:jc w:val="both"/>
                      </w:pPr>
                      <w:r>
                        <w:t>The authors report presentations of the ‘state-of-the art’ in each domain. Beyond this there is little indication on the types of presentation, or the influence on policy from the consensus statement and recommendations. Further, the purpose of the consensus conference is unclear, but we do know that it was organised and participated in by ‘experts’ from academic disciplines  with an interest in the impacts of physical activity, and provides strategies and guidance for schools.</w:t>
                      </w:r>
                    </w:p>
                    <w:p w:rsidR="0005094B" w:rsidRDefault="0005094B" w:rsidP="001E7CB0">
                      <w:pPr>
                        <w:jc w:val="both"/>
                        <w:rPr>
                          <w:b/>
                        </w:rPr>
                      </w:pPr>
                      <w:r>
                        <w:rPr>
                          <w:b/>
                        </w:rPr>
                        <w:t>Merits Further Research</w:t>
                      </w:r>
                    </w:p>
                    <w:p w:rsidR="0005094B" w:rsidRDefault="0005094B" w:rsidP="001E7CB0">
                      <w:pPr>
                        <w:jc w:val="both"/>
                      </w:pPr>
                      <w:r>
                        <w:t>This case study is particularly interesting, and in need of further investigation due to its recruitment of participant and expert witnesses. The organisers, expert witnesses, and participants seem to take on multiple roles throughout the consensus conference. From the reports available it seems the authors, also organised and took part in the conference, as well as acting as expert witnesses (</w:t>
                      </w:r>
                      <w:proofErr w:type="spellStart"/>
                      <w:r>
                        <w:t>Bangsbo</w:t>
                      </w:r>
                      <w:proofErr w:type="spellEnd"/>
                      <w:r>
                        <w:t xml:space="preserve"> et al. 2016). It would also be useful to establish the relationship to policy outcomes, particularly in the context of experts and participants dynamic outlined above. Finally, </w:t>
                      </w:r>
                      <w:r w:rsidRPr="00C12FCE">
                        <w:t>Out of the Danish cases it is the most orientated to social policy.</w:t>
                      </w:r>
                    </w:p>
                    <w:p w:rsidR="0005094B" w:rsidRPr="0045124A" w:rsidRDefault="0005094B" w:rsidP="001E7CB0">
                      <w:pPr>
                        <w:jc w:val="both"/>
                      </w:pPr>
                      <w:r w:rsidRPr="0045124A">
                        <w:t>From Finland the consensus conference on Finish health care reform</w:t>
                      </w:r>
                      <w:r>
                        <w:t xml:space="preserve"> (case no.18)</w:t>
                      </w:r>
                      <w:r w:rsidRPr="0045124A">
                        <w:t xml:space="preserve"> should be investigated (</w:t>
                      </w:r>
                      <w:proofErr w:type="spellStart"/>
                      <w:r w:rsidRPr="0045124A">
                        <w:t>Raisio</w:t>
                      </w:r>
                      <w:proofErr w:type="spellEnd"/>
                      <w:r w:rsidRPr="0045124A">
                        <w:t xml:space="preserve"> 2010). Similarly, out of the Finish cases it is the most orientated to social policy. However, at present we have little information on it.</w:t>
                      </w:r>
                    </w:p>
                    <w:p w:rsidR="0005094B" w:rsidRPr="00871B93" w:rsidRDefault="0005094B" w:rsidP="001E7CB0">
                      <w:pPr>
                        <w:jc w:val="both"/>
                      </w:pPr>
                    </w:p>
                    <w:p w:rsidR="0005094B" w:rsidRPr="00780D0F" w:rsidRDefault="0005094B" w:rsidP="001E7CB0">
                      <w:pPr>
                        <w:jc w:val="both"/>
                        <w:rPr>
                          <w:b/>
                        </w:rPr>
                      </w:pPr>
                    </w:p>
                  </w:txbxContent>
                </v:textbox>
                <w10:wrap type="square" anchorx="margin"/>
              </v:shape>
            </w:pict>
          </mc:Fallback>
        </mc:AlternateContent>
      </w:r>
    </w:p>
    <w:p w:rsidR="005A7A23" w:rsidRDefault="005A7A23" w:rsidP="00AF399C">
      <w:pPr>
        <w:jc w:val="both"/>
        <w:rPr>
          <w:i/>
          <w:sz w:val="24"/>
          <w:szCs w:val="24"/>
          <w:lang w:val="it-IT"/>
        </w:rPr>
      </w:pPr>
    </w:p>
    <w:p w:rsidR="005A7A23" w:rsidRPr="00AF399C" w:rsidRDefault="005A7A23" w:rsidP="00AF399C">
      <w:pPr>
        <w:jc w:val="both"/>
        <w:rPr>
          <w:i/>
          <w:sz w:val="24"/>
          <w:szCs w:val="24"/>
          <w:lang w:val="it-IT"/>
        </w:rPr>
      </w:pPr>
    </w:p>
    <w:p w:rsidR="005A7A23" w:rsidRDefault="005A7A23" w:rsidP="0052562D">
      <w:pPr>
        <w:rPr>
          <w:b/>
          <w:i/>
          <w:color w:val="0B5484" w:themeColor="accent1" w:themeShade="80"/>
          <w:sz w:val="24"/>
          <w:szCs w:val="24"/>
        </w:rPr>
      </w:pPr>
    </w:p>
    <w:p w:rsidR="001E7CB0" w:rsidRDefault="001E7CB0" w:rsidP="0052562D">
      <w:pPr>
        <w:rPr>
          <w:b/>
          <w:i/>
          <w:color w:val="0B5484" w:themeColor="accent1" w:themeShade="80"/>
          <w:sz w:val="24"/>
          <w:szCs w:val="24"/>
        </w:rPr>
      </w:pPr>
    </w:p>
    <w:p w:rsidR="001E7CB0" w:rsidRDefault="001E7CB0" w:rsidP="0052562D">
      <w:pPr>
        <w:rPr>
          <w:b/>
          <w:i/>
          <w:color w:val="0B5484" w:themeColor="accent1" w:themeShade="80"/>
          <w:sz w:val="24"/>
          <w:szCs w:val="24"/>
        </w:rPr>
      </w:pPr>
    </w:p>
    <w:p w:rsidR="001E7CB0" w:rsidRDefault="001E7CB0" w:rsidP="0052562D">
      <w:pPr>
        <w:rPr>
          <w:b/>
          <w:i/>
          <w:color w:val="0B5484" w:themeColor="accent1" w:themeShade="80"/>
          <w:sz w:val="24"/>
          <w:szCs w:val="24"/>
        </w:rPr>
      </w:pPr>
    </w:p>
    <w:p w:rsidR="001E7CB0" w:rsidRDefault="001E7CB0" w:rsidP="0052562D">
      <w:pPr>
        <w:rPr>
          <w:b/>
          <w:i/>
          <w:color w:val="0B5484" w:themeColor="accent1" w:themeShade="80"/>
          <w:sz w:val="24"/>
          <w:szCs w:val="24"/>
        </w:rPr>
      </w:pPr>
    </w:p>
    <w:p w:rsidR="001E7CB0" w:rsidRDefault="001E7CB0" w:rsidP="0052562D">
      <w:pPr>
        <w:rPr>
          <w:b/>
          <w:i/>
          <w:color w:val="0B5484" w:themeColor="accent1" w:themeShade="80"/>
          <w:sz w:val="24"/>
          <w:szCs w:val="24"/>
        </w:rPr>
      </w:pPr>
    </w:p>
    <w:p w:rsidR="007F729A" w:rsidRDefault="001D39E7" w:rsidP="0052562D">
      <w:pPr>
        <w:rPr>
          <w:b/>
          <w:color w:val="0B5484" w:themeColor="accent1" w:themeShade="80"/>
          <w:sz w:val="28"/>
          <w:szCs w:val="28"/>
        </w:rPr>
      </w:pPr>
      <w:r w:rsidRPr="001E7CB0">
        <w:rPr>
          <w:b/>
          <w:color w:val="0B5484" w:themeColor="accent1" w:themeShade="80"/>
          <w:sz w:val="28"/>
          <w:szCs w:val="28"/>
        </w:rPr>
        <w:lastRenderedPageBreak/>
        <w:t>France</w:t>
      </w:r>
    </w:p>
    <w:p w:rsidR="00AC17FF" w:rsidRDefault="00AC17FF" w:rsidP="00AC17FF">
      <w:pPr>
        <w:jc w:val="both"/>
        <w:rPr>
          <w:b/>
          <w:color w:val="0B5484" w:themeColor="accent1" w:themeShade="80"/>
          <w:sz w:val="24"/>
          <w:szCs w:val="24"/>
        </w:rPr>
      </w:pPr>
      <w:r>
        <w:rPr>
          <w:b/>
          <w:bCs/>
          <w:color w:val="0B5484" w:themeColor="accent1" w:themeShade="80"/>
          <w:sz w:val="24"/>
          <w:szCs w:val="24"/>
        </w:rPr>
        <w:t xml:space="preserve">Table 9: </w:t>
      </w:r>
      <w:r>
        <w:rPr>
          <w:b/>
          <w:color w:val="0B5484" w:themeColor="accent1" w:themeShade="80"/>
          <w:sz w:val="24"/>
          <w:szCs w:val="24"/>
        </w:rPr>
        <w:t>France</w:t>
      </w:r>
      <w:r>
        <w:rPr>
          <w:b/>
          <w:bCs/>
          <w:color w:val="0B5484" w:themeColor="accent1" w:themeShade="80"/>
          <w:sz w:val="24"/>
          <w:szCs w:val="24"/>
        </w:rPr>
        <w:t xml:space="preserve">: </w:t>
      </w:r>
      <w:r w:rsidRPr="00C82A8C">
        <w:rPr>
          <w:b/>
          <w:bCs/>
          <w:color w:val="0B5484" w:themeColor="accent1" w:themeShade="80"/>
          <w:sz w:val="24"/>
          <w:szCs w:val="24"/>
        </w:rPr>
        <w:t xml:space="preserve">Overview of </w:t>
      </w:r>
      <w:r>
        <w:rPr>
          <w:b/>
          <w:color w:val="0B5484" w:themeColor="accent1" w:themeShade="80"/>
          <w:sz w:val="24"/>
          <w:szCs w:val="24"/>
        </w:rPr>
        <w:t>Mini-Public</w:t>
      </w:r>
      <w:r w:rsidRPr="00C82A8C">
        <w:rPr>
          <w:b/>
          <w:color w:val="0B5484" w:themeColor="accent1" w:themeShade="80"/>
          <w:sz w:val="24"/>
          <w:szCs w:val="24"/>
        </w:rPr>
        <w:t xml:space="preserve"> Cases</w:t>
      </w:r>
    </w:p>
    <w:tbl>
      <w:tblPr>
        <w:tblStyle w:val="TableGrid"/>
        <w:tblW w:w="11199" w:type="dxa"/>
        <w:tblInd w:w="-998" w:type="dxa"/>
        <w:tblLook w:val="04A0" w:firstRow="1" w:lastRow="0" w:firstColumn="1" w:lastColumn="0" w:noHBand="0" w:noVBand="1"/>
      </w:tblPr>
      <w:tblGrid>
        <w:gridCol w:w="505"/>
        <w:gridCol w:w="2822"/>
        <w:gridCol w:w="1153"/>
        <w:gridCol w:w="2034"/>
        <w:gridCol w:w="898"/>
        <w:gridCol w:w="944"/>
        <w:gridCol w:w="1222"/>
        <w:gridCol w:w="1621"/>
      </w:tblGrid>
      <w:tr w:rsidR="007B2900" w:rsidTr="00DE2792">
        <w:tc>
          <w:tcPr>
            <w:tcW w:w="509" w:type="dxa"/>
          </w:tcPr>
          <w:p w:rsidR="007B2900" w:rsidRPr="00C4576A" w:rsidRDefault="007B2900" w:rsidP="00DE2792">
            <w:pPr>
              <w:rPr>
                <w:rFonts w:cstheme="minorHAnsi"/>
                <w:b/>
                <w:i/>
                <w:color w:val="0B5484" w:themeColor="accent1" w:themeShade="80"/>
                <w:sz w:val="20"/>
                <w:szCs w:val="20"/>
              </w:rPr>
            </w:pPr>
            <w:r w:rsidRPr="00C4576A">
              <w:rPr>
                <w:rFonts w:cstheme="minorHAnsi"/>
                <w:b/>
                <w:i/>
                <w:color w:val="0B5484" w:themeColor="accent1" w:themeShade="80"/>
                <w:sz w:val="20"/>
                <w:szCs w:val="20"/>
              </w:rPr>
              <w:t>No.</w:t>
            </w:r>
          </w:p>
        </w:tc>
        <w:tc>
          <w:tcPr>
            <w:tcW w:w="3018" w:type="dxa"/>
          </w:tcPr>
          <w:p w:rsidR="007B2900" w:rsidRPr="00C4576A" w:rsidRDefault="007B2900" w:rsidP="00DE2792">
            <w:pPr>
              <w:rPr>
                <w:rFonts w:cstheme="minorHAnsi"/>
                <w:b/>
                <w:i/>
                <w:color w:val="0B5484" w:themeColor="accent1" w:themeShade="80"/>
                <w:sz w:val="20"/>
                <w:szCs w:val="20"/>
              </w:rPr>
            </w:pPr>
            <w:r w:rsidRPr="00C4576A">
              <w:rPr>
                <w:rFonts w:cstheme="minorHAnsi"/>
                <w:b/>
                <w:i/>
                <w:color w:val="0B5484" w:themeColor="accent1" w:themeShade="80"/>
                <w:sz w:val="20"/>
                <w:szCs w:val="20"/>
              </w:rPr>
              <w:t>Case</w:t>
            </w:r>
          </w:p>
        </w:tc>
        <w:tc>
          <w:tcPr>
            <w:tcW w:w="946" w:type="dxa"/>
          </w:tcPr>
          <w:p w:rsidR="007B2900" w:rsidRPr="00C4576A" w:rsidRDefault="007B2900" w:rsidP="00DE2792">
            <w:pPr>
              <w:rPr>
                <w:rFonts w:cstheme="minorHAnsi"/>
                <w:b/>
                <w:i/>
                <w:color w:val="0B5484" w:themeColor="accent1" w:themeShade="80"/>
                <w:sz w:val="20"/>
                <w:szCs w:val="20"/>
              </w:rPr>
            </w:pPr>
            <w:r w:rsidRPr="00C4576A">
              <w:rPr>
                <w:rFonts w:cstheme="minorHAnsi"/>
                <w:b/>
                <w:i/>
                <w:color w:val="0B5484" w:themeColor="accent1" w:themeShade="80"/>
                <w:sz w:val="20"/>
                <w:szCs w:val="20"/>
              </w:rPr>
              <w:t>Mini-Public</w:t>
            </w:r>
          </w:p>
        </w:tc>
        <w:tc>
          <w:tcPr>
            <w:tcW w:w="2146" w:type="dxa"/>
          </w:tcPr>
          <w:p w:rsidR="007B2900" w:rsidRPr="00C4576A" w:rsidRDefault="007B2900" w:rsidP="00DE2792">
            <w:pPr>
              <w:rPr>
                <w:rFonts w:cstheme="minorHAnsi"/>
                <w:b/>
                <w:i/>
                <w:color w:val="0B5484" w:themeColor="accent1" w:themeShade="80"/>
                <w:sz w:val="20"/>
                <w:szCs w:val="20"/>
              </w:rPr>
            </w:pPr>
            <w:r w:rsidRPr="00C4576A">
              <w:rPr>
                <w:rFonts w:cstheme="minorHAnsi"/>
                <w:b/>
                <w:i/>
                <w:color w:val="0B5484" w:themeColor="accent1" w:themeShade="80"/>
                <w:sz w:val="20"/>
                <w:szCs w:val="20"/>
              </w:rPr>
              <w:t>Location</w:t>
            </w:r>
          </w:p>
        </w:tc>
        <w:tc>
          <w:tcPr>
            <w:tcW w:w="688" w:type="dxa"/>
          </w:tcPr>
          <w:p w:rsidR="007B2900" w:rsidRPr="00C4576A" w:rsidRDefault="007B2900" w:rsidP="00DE2792">
            <w:pPr>
              <w:rPr>
                <w:rFonts w:cstheme="minorHAnsi"/>
                <w:b/>
                <w:i/>
                <w:color w:val="0B5484" w:themeColor="accent1" w:themeShade="80"/>
                <w:sz w:val="20"/>
                <w:szCs w:val="20"/>
              </w:rPr>
            </w:pPr>
            <w:r w:rsidRPr="00C4576A">
              <w:rPr>
                <w:rFonts w:cstheme="minorHAnsi"/>
                <w:b/>
                <w:i/>
                <w:color w:val="0B5484" w:themeColor="accent1" w:themeShade="80"/>
                <w:sz w:val="20"/>
                <w:szCs w:val="20"/>
              </w:rPr>
              <w:t>Date</w:t>
            </w:r>
          </w:p>
        </w:tc>
        <w:tc>
          <w:tcPr>
            <w:tcW w:w="953" w:type="dxa"/>
          </w:tcPr>
          <w:p w:rsidR="007B2900" w:rsidRPr="00C4576A" w:rsidRDefault="007B2900" w:rsidP="00DE2792">
            <w:pPr>
              <w:rPr>
                <w:rFonts w:cstheme="minorHAnsi"/>
                <w:b/>
                <w:i/>
                <w:color w:val="0B5484" w:themeColor="accent1" w:themeShade="80"/>
                <w:sz w:val="20"/>
                <w:szCs w:val="20"/>
              </w:rPr>
            </w:pPr>
            <w:r w:rsidRPr="00C4576A">
              <w:rPr>
                <w:rFonts w:cstheme="minorHAnsi"/>
                <w:b/>
                <w:i/>
                <w:color w:val="0B5484" w:themeColor="accent1" w:themeShade="80"/>
                <w:sz w:val="20"/>
                <w:szCs w:val="20"/>
              </w:rPr>
              <w:t>Duration</w:t>
            </w:r>
          </w:p>
        </w:tc>
        <w:tc>
          <w:tcPr>
            <w:tcW w:w="1238" w:type="dxa"/>
          </w:tcPr>
          <w:p w:rsidR="007B2900" w:rsidRPr="00C4576A" w:rsidRDefault="007B2900" w:rsidP="00DE2792">
            <w:pPr>
              <w:rPr>
                <w:rFonts w:cstheme="minorHAnsi"/>
                <w:b/>
                <w:i/>
                <w:color w:val="0B5484" w:themeColor="accent1" w:themeShade="80"/>
                <w:sz w:val="20"/>
                <w:szCs w:val="20"/>
              </w:rPr>
            </w:pPr>
            <w:r w:rsidRPr="00C4576A">
              <w:rPr>
                <w:rFonts w:cstheme="minorHAnsi"/>
                <w:b/>
                <w:i/>
                <w:color w:val="0B5484" w:themeColor="accent1" w:themeShade="80"/>
                <w:sz w:val="20"/>
                <w:szCs w:val="20"/>
              </w:rPr>
              <w:t>No. Participants</w:t>
            </w:r>
          </w:p>
        </w:tc>
        <w:tc>
          <w:tcPr>
            <w:tcW w:w="1701" w:type="dxa"/>
          </w:tcPr>
          <w:p w:rsidR="007B2900" w:rsidRPr="00C4576A" w:rsidRDefault="007B2900" w:rsidP="00DE2792">
            <w:pPr>
              <w:rPr>
                <w:rFonts w:cstheme="minorHAnsi"/>
                <w:b/>
                <w:i/>
                <w:color w:val="0B5484" w:themeColor="accent1" w:themeShade="80"/>
                <w:sz w:val="20"/>
                <w:szCs w:val="20"/>
              </w:rPr>
            </w:pPr>
            <w:r w:rsidRPr="00C4576A">
              <w:rPr>
                <w:rFonts w:cstheme="minorHAnsi"/>
                <w:b/>
                <w:i/>
                <w:color w:val="0B5484" w:themeColor="accent1" w:themeShade="80"/>
                <w:sz w:val="20"/>
                <w:szCs w:val="20"/>
              </w:rPr>
              <w:t>Sampling Method</w:t>
            </w:r>
          </w:p>
        </w:tc>
      </w:tr>
      <w:tr w:rsidR="007B2900" w:rsidTr="00DE2792">
        <w:tc>
          <w:tcPr>
            <w:tcW w:w="509" w:type="dxa"/>
            <w:shd w:val="clear" w:color="auto" w:fill="ABD9F8" w:themeFill="accent1" w:themeFillTint="66"/>
            <w:vAlign w:val="center"/>
          </w:tcPr>
          <w:p w:rsidR="007B2900" w:rsidRPr="002A7417" w:rsidRDefault="007B2900" w:rsidP="00DE2792">
            <w:pPr>
              <w:rPr>
                <w:rFonts w:cstheme="minorHAnsi"/>
                <w:b/>
                <w:i/>
                <w:sz w:val="20"/>
                <w:szCs w:val="20"/>
              </w:rPr>
            </w:pPr>
            <w:r w:rsidRPr="002A7417">
              <w:rPr>
                <w:rFonts w:cstheme="minorHAnsi"/>
                <w:b/>
                <w:i/>
                <w:sz w:val="20"/>
                <w:szCs w:val="20"/>
              </w:rPr>
              <w:t>24</w:t>
            </w:r>
          </w:p>
        </w:tc>
        <w:tc>
          <w:tcPr>
            <w:tcW w:w="3018" w:type="dxa"/>
            <w:tcBorders>
              <w:top w:val="single" w:sz="4" w:space="0" w:color="auto"/>
              <w:left w:val="single" w:sz="4" w:space="0" w:color="auto"/>
              <w:bottom w:val="single" w:sz="4" w:space="0" w:color="auto"/>
              <w:right w:val="single" w:sz="4" w:space="0" w:color="auto"/>
            </w:tcBorders>
            <w:shd w:val="clear" w:color="auto" w:fill="ABD9F8" w:themeFill="accent1" w:themeFillTint="66"/>
            <w:vAlign w:val="center"/>
          </w:tcPr>
          <w:p w:rsidR="007B2900" w:rsidRPr="00F3601A" w:rsidRDefault="007B2900" w:rsidP="00DE2792">
            <w:pPr>
              <w:rPr>
                <w:rFonts w:ascii="Calibri" w:hAnsi="Calibri" w:cs="Calibri"/>
                <w:sz w:val="20"/>
                <w:szCs w:val="20"/>
              </w:rPr>
            </w:pPr>
            <w:r w:rsidRPr="00F3601A">
              <w:rPr>
                <w:rFonts w:ascii="Calibri" w:hAnsi="Calibri" w:cs="Calibri"/>
                <w:sz w:val="20"/>
                <w:szCs w:val="20"/>
              </w:rPr>
              <w:t xml:space="preserve">Evaluation of Regional Public Polices </w:t>
            </w:r>
          </w:p>
        </w:tc>
        <w:tc>
          <w:tcPr>
            <w:tcW w:w="946" w:type="dxa"/>
            <w:tcBorders>
              <w:top w:val="single" w:sz="4" w:space="0" w:color="auto"/>
              <w:left w:val="nil"/>
              <w:bottom w:val="single" w:sz="4" w:space="0" w:color="auto"/>
              <w:right w:val="single" w:sz="4" w:space="0" w:color="auto"/>
            </w:tcBorders>
            <w:shd w:val="clear" w:color="auto" w:fill="ABD9F8" w:themeFill="accent1" w:themeFillTint="66"/>
            <w:vAlign w:val="center"/>
          </w:tcPr>
          <w:p w:rsidR="007B2900" w:rsidRPr="00F3601A" w:rsidRDefault="007B2900" w:rsidP="00DE2792">
            <w:pPr>
              <w:rPr>
                <w:rFonts w:ascii="Calibri" w:hAnsi="Calibri" w:cs="Calibri"/>
                <w:sz w:val="20"/>
                <w:szCs w:val="20"/>
              </w:rPr>
            </w:pPr>
            <w:r w:rsidRPr="00F3601A">
              <w:rPr>
                <w:rFonts w:ascii="Calibri" w:hAnsi="Calibri" w:cs="Calibri"/>
                <w:sz w:val="20"/>
                <w:szCs w:val="20"/>
              </w:rPr>
              <w:t>Citizens' Jury</w:t>
            </w:r>
          </w:p>
        </w:tc>
        <w:tc>
          <w:tcPr>
            <w:tcW w:w="2146" w:type="dxa"/>
            <w:tcBorders>
              <w:top w:val="single" w:sz="4" w:space="0" w:color="auto"/>
              <w:left w:val="nil"/>
              <w:bottom w:val="single" w:sz="4" w:space="0" w:color="auto"/>
              <w:right w:val="single" w:sz="4" w:space="0" w:color="auto"/>
            </w:tcBorders>
            <w:shd w:val="clear" w:color="auto" w:fill="ABD9F8" w:themeFill="accent1" w:themeFillTint="66"/>
            <w:vAlign w:val="center"/>
          </w:tcPr>
          <w:p w:rsidR="007B2900" w:rsidRPr="00F3601A" w:rsidRDefault="007B2900" w:rsidP="00DE2792">
            <w:pPr>
              <w:rPr>
                <w:rFonts w:ascii="Calibri" w:hAnsi="Calibri" w:cs="Calibri"/>
                <w:sz w:val="20"/>
                <w:szCs w:val="20"/>
              </w:rPr>
            </w:pPr>
            <w:r w:rsidRPr="00F3601A">
              <w:rPr>
                <w:rFonts w:ascii="Calibri" w:hAnsi="Calibri" w:cs="Calibri"/>
                <w:sz w:val="20"/>
                <w:szCs w:val="20"/>
              </w:rPr>
              <w:t>Poitou-Charentes, France</w:t>
            </w:r>
          </w:p>
        </w:tc>
        <w:tc>
          <w:tcPr>
            <w:tcW w:w="688" w:type="dxa"/>
            <w:tcBorders>
              <w:top w:val="single" w:sz="4" w:space="0" w:color="auto"/>
              <w:left w:val="nil"/>
              <w:bottom w:val="single" w:sz="4" w:space="0" w:color="auto"/>
              <w:right w:val="single" w:sz="4" w:space="0" w:color="auto"/>
            </w:tcBorders>
            <w:shd w:val="clear" w:color="auto" w:fill="ABD9F8" w:themeFill="accent1" w:themeFillTint="66"/>
            <w:vAlign w:val="center"/>
          </w:tcPr>
          <w:p w:rsidR="007B2900" w:rsidRPr="00F3601A" w:rsidRDefault="007B2900" w:rsidP="00DE2792">
            <w:pPr>
              <w:rPr>
                <w:rFonts w:ascii="Calibri" w:hAnsi="Calibri" w:cs="Calibri"/>
                <w:sz w:val="20"/>
                <w:szCs w:val="20"/>
              </w:rPr>
            </w:pPr>
            <w:r w:rsidRPr="00F3601A">
              <w:rPr>
                <w:rFonts w:ascii="Calibri" w:hAnsi="Calibri" w:cs="Calibri"/>
                <w:sz w:val="20"/>
                <w:szCs w:val="20"/>
              </w:rPr>
              <w:t>5th-26th of April and 16th-17th of May 2008 [2]</w:t>
            </w:r>
          </w:p>
        </w:tc>
        <w:tc>
          <w:tcPr>
            <w:tcW w:w="953" w:type="dxa"/>
            <w:tcBorders>
              <w:top w:val="single" w:sz="4" w:space="0" w:color="auto"/>
              <w:left w:val="nil"/>
              <w:bottom w:val="single" w:sz="4" w:space="0" w:color="auto"/>
              <w:right w:val="single" w:sz="4" w:space="0" w:color="auto"/>
            </w:tcBorders>
            <w:shd w:val="clear" w:color="auto" w:fill="ABD9F8" w:themeFill="accent1" w:themeFillTint="66"/>
            <w:vAlign w:val="center"/>
          </w:tcPr>
          <w:p w:rsidR="007B2900" w:rsidRPr="00F3601A" w:rsidRDefault="007B2900" w:rsidP="00DE2792">
            <w:pPr>
              <w:rPr>
                <w:rFonts w:ascii="Calibri" w:hAnsi="Calibri" w:cs="Calibri"/>
                <w:sz w:val="20"/>
                <w:szCs w:val="20"/>
              </w:rPr>
            </w:pPr>
            <w:r w:rsidRPr="00F3601A">
              <w:rPr>
                <w:rFonts w:ascii="Calibri" w:hAnsi="Calibri" w:cs="Calibri"/>
                <w:sz w:val="20"/>
                <w:szCs w:val="20"/>
              </w:rPr>
              <w:t>4 days</w:t>
            </w:r>
          </w:p>
        </w:tc>
        <w:tc>
          <w:tcPr>
            <w:tcW w:w="1238" w:type="dxa"/>
            <w:tcBorders>
              <w:top w:val="single" w:sz="4" w:space="0" w:color="auto"/>
              <w:left w:val="nil"/>
              <w:bottom w:val="single" w:sz="4" w:space="0" w:color="auto"/>
              <w:right w:val="single" w:sz="4" w:space="0" w:color="auto"/>
            </w:tcBorders>
            <w:shd w:val="clear" w:color="auto" w:fill="ABD9F8" w:themeFill="accent1" w:themeFillTint="66"/>
            <w:vAlign w:val="center"/>
          </w:tcPr>
          <w:p w:rsidR="007B2900" w:rsidRPr="00F3601A" w:rsidRDefault="007B2900" w:rsidP="00DE2792">
            <w:pPr>
              <w:rPr>
                <w:rFonts w:ascii="Calibri" w:hAnsi="Calibri" w:cs="Calibri"/>
                <w:sz w:val="20"/>
                <w:szCs w:val="20"/>
              </w:rPr>
            </w:pPr>
            <w:r w:rsidRPr="00F3601A">
              <w:rPr>
                <w:rFonts w:ascii="Calibri" w:hAnsi="Calibri" w:cs="Calibri"/>
                <w:sz w:val="20"/>
                <w:szCs w:val="20"/>
              </w:rPr>
              <w:t>25</w:t>
            </w:r>
          </w:p>
        </w:tc>
        <w:tc>
          <w:tcPr>
            <w:tcW w:w="1701" w:type="dxa"/>
            <w:tcBorders>
              <w:top w:val="single" w:sz="4" w:space="0" w:color="auto"/>
              <w:left w:val="nil"/>
              <w:bottom w:val="single" w:sz="4" w:space="0" w:color="auto"/>
              <w:right w:val="single" w:sz="4" w:space="0" w:color="auto"/>
            </w:tcBorders>
            <w:shd w:val="clear" w:color="auto" w:fill="ABD9F8" w:themeFill="accent1" w:themeFillTint="66"/>
            <w:vAlign w:val="center"/>
          </w:tcPr>
          <w:p w:rsidR="007B2900" w:rsidRPr="00F3601A" w:rsidRDefault="007B2900" w:rsidP="00DE2792">
            <w:pPr>
              <w:rPr>
                <w:rFonts w:ascii="Calibri" w:hAnsi="Calibri" w:cs="Calibri"/>
                <w:sz w:val="20"/>
                <w:szCs w:val="20"/>
              </w:rPr>
            </w:pPr>
            <w:r w:rsidRPr="00F3601A">
              <w:rPr>
                <w:rFonts w:ascii="Calibri" w:hAnsi="Calibri" w:cs="Calibri"/>
                <w:sz w:val="20"/>
                <w:szCs w:val="20"/>
              </w:rPr>
              <w:t xml:space="preserve">Random selection </w:t>
            </w:r>
          </w:p>
        </w:tc>
      </w:tr>
      <w:tr w:rsidR="007B2900" w:rsidTr="00DE2792">
        <w:tc>
          <w:tcPr>
            <w:tcW w:w="509" w:type="dxa"/>
            <w:vAlign w:val="center"/>
          </w:tcPr>
          <w:p w:rsidR="007B2900" w:rsidRPr="002A7417" w:rsidRDefault="007B2900" w:rsidP="00DE2792">
            <w:pPr>
              <w:rPr>
                <w:rFonts w:cstheme="minorHAnsi"/>
                <w:b/>
                <w:i/>
                <w:sz w:val="20"/>
                <w:szCs w:val="20"/>
              </w:rPr>
            </w:pPr>
            <w:r w:rsidRPr="002A7417">
              <w:rPr>
                <w:rFonts w:cstheme="minorHAnsi"/>
                <w:b/>
                <w:i/>
                <w:sz w:val="20"/>
                <w:szCs w:val="20"/>
              </w:rPr>
              <w:t>25</w:t>
            </w:r>
          </w:p>
        </w:tc>
        <w:tc>
          <w:tcPr>
            <w:tcW w:w="3018" w:type="dxa"/>
            <w:tcBorders>
              <w:top w:val="nil"/>
              <w:left w:val="single" w:sz="4" w:space="0" w:color="auto"/>
              <w:bottom w:val="single" w:sz="4" w:space="0" w:color="auto"/>
              <w:right w:val="single" w:sz="4" w:space="0" w:color="auto"/>
            </w:tcBorders>
            <w:shd w:val="clear" w:color="auto" w:fill="auto"/>
            <w:vAlign w:val="center"/>
          </w:tcPr>
          <w:p w:rsidR="007B2900" w:rsidRPr="00F3601A" w:rsidRDefault="007B2900" w:rsidP="00DE2792">
            <w:pPr>
              <w:rPr>
                <w:rFonts w:ascii="Calibri" w:hAnsi="Calibri" w:cs="Calibri"/>
                <w:sz w:val="20"/>
                <w:szCs w:val="20"/>
              </w:rPr>
            </w:pPr>
            <w:r w:rsidRPr="00F3601A">
              <w:rPr>
                <w:rFonts w:ascii="Calibri" w:hAnsi="Calibri" w:cs="Calibri"/>
                <w:sz w:val="20"/>
                <w:szCs w:val="20"/>
              </w:rPr>
              <w:t>Genetically Modified Organisms (GMO)</w:t>
            </w:r>
          </w:p>
        </w:tc>
        <w:tc>
          <w:tcPr>
            <w:tcW w:w="946" w:type="dxa"/>
            <w:tcBorders>
              <w:top w:val="nil"/>
              <w:left w:val="nil"/>
              <w:bottom w:val="single" w:sz="4" w:space="0" w:color="auto"/>
              <w:right w:val="single" w:sz="4" w:space="0" w:color="auto"/>
            </w:tcBorders>
            <w:shd w:val="clear" w:color="auto" w:fill="auto"/>
            <w:vAlign w:val="center"/>
          </w:tcPr>
          <w:p w:rsidR="007B2900" w:rsidRPr="00F3601A" w:rsidRDefault="007B2900" w:rsidP="00DE2792">
            <w:pPr>
              <w:rPr>
                <w:rFonts w:ascii="Calibri" w:hAnsi="Calibri" w:cs="Calibri"/>
                <w:sz w:val="20"/>
                <w:szCs w:val="20"/>
              </w:rPr>
            </w:pPr>
            <w:r w:rsidRPr="00F3601A">
              <w:rPr>
                <w:rFonts w:ascii="Calibri" w:hAnsi="Calibri" w:cs="Calibri"/>
                <w:sz w:val="20"/>
                <w:szCs w:val="20"/>
              </w:rPr>
              <w:t>Consensus Conference</w:t>
            </w:r>
          </w:p>
        </w:tc>
        <w:tc>
          <w:tcPr>
            <w:tcW w:w="2146" w:type="dxa"/>
            <w:tcBorders>
              <w:top w:val="nil"/>
              <w:left w:val="nil"/>
              <w:bottom w:val="single" w:sz="4" w:space="0" w:color="auto"/>
              <w:right w:val="single" w:sz="4" w:space="0" w:color="auto"/>
            </w:tcBorders>
            <w:shd w:val="clear" w:color="auto" w:fill="auto"/>
            <w:vAlign w:val="center"/>
          </w:tcPr>
          <w:p w:rsidR="007B2900" w:rsidRPr="00F3601A" w:rsidRDefault="007B2900" w:rsidP="00DE2792">
            <w:pPr>
              <w:rPr>
                <w:rFonts w:ascii="Calibri" w:hAnsi="Calibri" w:cs="Calibri"/>
                <w:sz w:val="20"/>
                <w:szCs w:val="20"/>
              </w:rPr>
            </w:pPr>
            <w:r w:rsidRPr="00F3601A">
              <w:rPr>
                <w:rFonts w:ascii="Calibri" w:hAnsi="Calibri" w:cs="Calibri"/>
                <w:sz w:val="20"/>
                <w:szCs w:val="20"/>
              </w:rPr>
              <w:t>National</w:t>
            </w:r>
          </w:p>
        </w:tc>
        <w:tc>
          <w:tcPr>
            <w:tcW w:w="688" w:type="dxa"/>
            <w:tcBorders>
              <w:top w:val="nil"/>
              <w:left w:val="nil"/>
              <w:bottom w:val="single" w:sz="4" w:space="0" w:color="auto"/>
              <w:right w:val="single" w:sz="4" w:space="0" w:color="auto"/>
            </w:tcBorders>
            <w:shd w:val="clear" w:color="auto" w:fill="auto"/>
            <w:vAlign w:val="center"/>
          </w:tcPr>
          <w:p w:rsidR="007B2900" w:rsidRPr="00F3601A" w:rsidRDefault="007B2900" w:rsidP="00DE2792">
            <w:pPr>
              <w:rPr>
                <w:rFonts w:ascii="Calibri" w:hAnsi="Calibri" w:cs="Calibri"/>
                <w:sz w:val="20"/>
                <w:szCs w:val="20"/>
              </w:rPr>
            </w:pPr>
            <w:r w:rsidRPr="00F3601A">
              <w:rPr>
                <w:rFonts w:ascii="Calibri" w:hAnsi="Calibri" w:cs="Calibri"/>
                <w:sz w:val="20"/>
                <w:szCs w:val="20"/>
              </w:rPr>
              <w:t>1998</w:t>
            </w:r>
          </w:p>
        </w:tc>
        <w:tc>
          <w:tcPr>
            <w:tcW w:w="953" w:type="dxa"/>
            <w:tcBorders>
              <w:top w:val="nil"/>
              <w:left w:val="nil"/>
              <w:bottom w:val="single" w:sz="4" w:space="0" w:color="auto"/>
              <w:right w:val="single" w:sz="4" w:space="0" w:color="auto"/>
            </w:tcBorders>
            <w:shd w:val="clear" w:color="auto" w:fill="auto"/>
            <w:vAlign w:val="center"/>
          </w:tcPr>
          <w:p w:rsidR="007B2900" w:rsidRPr="00F3601A" w:rsidRDefault="007B2900" w:rsidP="00DE2792">
            <w:pPr>
              <w:rPr>
                <w:rFonts w:ascii="Calibri" w:hAnsi="Calibri" w:cs="Calibri"/>
                <w:sz w:val="20"/>
                <w:szCs w:val="20"/>
              </w:rPr>
            </w:pPr>
            <w:r w:rsidRPr="00F3601A">
              <w:rPr>
                <w:rFonts w:ascii="Calibri" w:hAnsi="Calibri" w:cs="Calibri"/>
                <w:sz w:val="20"/>
                <w:szCs w:val="20"/>
              </w:rPr>
              <w:t>Don't know</w:t>
            </w:r>
          </w:p>
        </w:tc>
        <w:tc>
          <w:tcPr>
            <w:tcW w:w="1238" w:type="dxa"/>
            <w:tcBorders>
              <w:top w:val="nil"/>
              <w:left w:val="nil"/>
              <w:bottom w:val="single" w:sz="4" w:space="0" w:color="auto"/>
              <w:right w:val="single" w:sz="4" w:space="0" w:color="auto"/>
            </w:tcBorders>
            <w:shd w:val="clear" w:color="auto" w:fill="auto"/>
            <w:vAlign w:val="center"/>
          </w:tcPr>
          <w:p w:rsidR="007B2900" w:rsidRPr="00F3601A" w:rsidRDefault="007B2900" w:rsidP="00DE2792">
            <w:pPr>
              <w:rPr>
                <w:rFonts w:ascii="Calibri" w:hAnsi="Calibri" w:cs="Calibri"/>
                <w:sz w:val="20"/>
                <w:szCs w:val="20"/>
              </w:rPr>
            </w:pPr>
            <w:r w:rsidRPr="00F3601A">
              <w:rPr>
                <w:rFonts w:ascii="Calibri" w:hAnsi="Calibri" w:cs="Calibri"/>
                <w:sz w:val="20"/>
                <w:szCs w:val="20"/>
              </w:rPr>
              <w:t>Don't know</w:t>
            </w:r>
          </w:p>
        </w:tc>
        <w:tc>
          <w:tcPr>
            <w:tcW w:w="1701" w:type="dxa"/>
            <w:tcBorders>
              <w:top w:val="nil"/>
              <w:left w:val="nil"/>
              <w:bottom w:val="single" w:sz="4" w:space="0" w:color="auto"/>
              <w:right w:val="single" w:sz="4" w:space="0" w:color="auto"/>
            </w:tcBorders>
            <w:shd w:val="clear" w:color="auto" w:fill="auto"/>
            <w:vAlign w:val="center"/>
          </w:tcPr>
          <w:p w:rsidR="007B2900" w:rsidRPr="00F3601A" w:rsidRDefault="007B2900" w:rsidP="00DE2792">
            <w:pPr>
              <w:rPr>
                <w:rFonts w:ascii="Calibri" w:hAnsi="Calibri" w:cs="Calibri"/>
                <w:sz w:val="20"/>
                <w:szCs w:val="20"/>
              </w:rPr>
            </w:pPr>
            <w:r w:rsidRPr="00F3601A">
              <w:rPr>
                <w:rFonts w:ascii="Calibri" w:hAnsi="Calibri" w:cs="Calibri"/>
                <w:sz w:val="20"/>
                <w:szCs w:val="20"/>
              </w:rPr>
              <w:t>Don't know</w:t>
            </w:r>
          </w:p>
        </w:tc>
      </w:tr>
      <w:tr w:rsidR="007B2900" w:rsidTr="00DE2792">
        <w:tc>
          <w:tcPr>
            <w:tcW w:w="509" w:type="dxa"/>
            <w:shd w:val="clear" w:color="auto" w:fill="ABD9F8" w:themeFill="accent1" w:themeFillTint="66"/>
            <w:vAlign w:val="center"/>
          </w:tcPr>
          <w:p w:rsidR="007B2900" w:rsidRPr="002A7417" w:rsidRDefault="007B2900" w:rsidP="00DE2792">
            <w:pPr>
              <w:rPr>
                <w:rFonts w:cstheme="minorHAnsi"/>
                <w:b/>
                <w:i/>
                <w:sz w:val="20"/>
                <w:szCs w:val="20"/>
              </w:rPr>
            </w:pPr>
            <w:r w:rsidRPr="002A7417">
              <w:rPr>
                <w:rFonts w:cstheme="minorHAnsi"/>
                <w:b/>
                <w:i/>
                <w:sz w:val="20"/>
                <w:szCs w:val="20"/>
              </w:rPr>
              <w:t>26</w:t>
            </w:r>
          </w:p>
        </w:tc>
        <w:tc>
          <w:tcPr>
            <w:tcW w:w="3018" w:type="dxa"/>
            <w:tcBorders>
              <w:top w:val="nil"/>
              <w:left w:val="single" w:sz="4" w:space="0" w:color="auto"/>
              <w:bottom w:val="single" w:sz="4" w:space="0" w:color="auto"/>
              <w:right w:val="single" w:sz="4" w:space="0" w:color="auto"/>
            </w:tcBorders>
            <w:shd w:val="clear" w:color="auto" w:fill="ABD9F8" w:themeFill="accent1" w:themeFillTint="66"/>
            <w:vAlign w:val="center"/>
          </w:tcPr>
          <w:p w:rsidR="007B2900" w:rsidRPr="00F3601A" w:rsidRDefault="007B2900" w:rsidP="00DE2792">
            <w:pPr>
              <w:rPr>
                <w:rFonts w:ascii="Calibri" w:hAnsi="Calibri" w:cs="Calibri"/>
                <w:sz w:val="20"/>
                <w:szCs w:val="20"/>
              </w:rPr>
            </w:pPr>
            <w:r w:rsidRPr="00F3601A">
              <w:rPr>
                <w:rFonts w:ascii="Calibri" w:hAnsi="Calibri" w:cs="Calibri"/>
                <w:sz w:val="20"/>
                <w:szCs w:val="20"/>
              </w:rPr>
              <w:t>Health Technology Assessment (HTA)</w:t>
            </w:r>
          </w:p>
        </w:tc>
        <w:tc>
          <w:tcPr>
            <w:tcW w:w="946" w:type="dxa"/>
            <w:tcBorders>
              <w:top w:val="nil"/>
              <w:left w:val="nil"/>
              <w:bottom w:val="single" w:sz="4" w:space="0" w:color="auto"/>
              <w:right w:val="single" w:sz="4" w:space="0" w:color="auto"/>
            </w:tcBorders>
            <w:shd w:val="clear" w:color="auto" w:fill="ABD9F8" w:themeFill="accent1" w:themeFillTint="66"/>
            <w:vAlign w:val="center"/>
          </w:tcPr>
          <w:p w:rsidR="007B2900" w:rsidRPr="00F3601A" w:rsidRDefault="007B2900" w:rsidP="00DE2792">
            <w:pPr>
              <w:rPr>
                <w:rFonts w:ascii="Calibri" w:hAnsi="Calibri" w:cs="Calibri"/>
                <w:sz w:val="20"/>
                <w:szCs w:val="20"/>
              </w:rPr>
            </w:pPr>
            <w:r w:rsidRPr="00F3601A">
              <w:rPr>
                <w:rFonts w:ascii="Calibri" w:hAnsi="Calibri" w:cs="Calibri"/>
                <w:sz w:val="20"/>
                <w:szCs w:val="20"/>
              </w:rPr>
              <w:t>Consensus Conference</w:t>
            </w:r>
          </w:p>
        </w:tc>
        <w:tc>
          <w:tcPr>
            <w:tcW w:w="2146" w:type="dxa"/>
            <w:tcBorders>
              <w:top w:val="nil"/>
              <w:left w:val="nil"/>
              <w:bottom w:val="single" w:sz="4" w:space="0" w:color="auto"/>
              <w:right w:val="single" w:sz="4" w:space="0" w:color="auto"/>
            </w:tcBorders>
            <w:shd w:val="clear" w:color="auto" w:fill="ABD9F8" w:themeFill="accent1" w:themeFillTint="66"/>
            <w:vAlign w:val="center"/>
          </w:tcPr>
          <w:p w:rsidR="007B2900" w:rsidRPr="00F3601A" w:rsidRDefault="007B2900" w:rsidP="00DE2792">
            <w:pPr>
              <w:rPr>
                <w:rFonts w:ascii="Calibri" w:hAnsi="Calibri" w:cs="Calibri"/>
                <w:sz w:val="20"/>
                <w:szCs w:val="20"/>
              </w:rPr>
            </w:pPr>
            <w:r w:rsidRPr="00F3601A">
              <w:rPr>
                <w:rFonts w:ascii="Calibri" w:hAnsi="Calibri" w:cs="Calibri"/>
                <w:sz w:val="20"/>
                <w:szCs w:val="20"/>
              </w:rPr>
              <w:t>Don't know</w:t>
            </w:r>
          </w:p>
        </w:tc>
        <w:tc>
          <w:tcPr>
            <w:tcW w:w="688" w:type="dxa"/>
            <w:tcBorders>
              <w:top w:val="nil"/>
              <w:left w:val="nil"/>
              <w:bottom w:val="single" w:sz="4" w:space="0" w:color="auto"/>
              <w:right w:val="single" w:sz="4" w:space="0" w:color="auto"/>
            </w:tcBorders>
            <w:shd w:val="clear" w:color="auto" w:fill="ABD9F8" w:themeFill="accent1" w:themeFillTint="66"/>
            <w:vAlign w:val="center"/>
          </w:tcPr>
          <w:p w:rsidR="007B2900" w:rsidRPr="00F3601A" w:rsidRDefault="007B2900" w:rsidP="00DE2792">
            <w:pPr>
              <w:rPr>
                <w:rFonts w:ascii="Calibri" w:hAnsi="Calibri" w:cs="Calibri"/>
                <w:sz w:val="20"/>
                <w:szCs w:val="20"/>
              </w:rPr>
            </w:pPr>
            <w:r w:rsidRPr="00F3601A">
              <w:rPr>
                <w:rFonts w:ascii="Calibri" w:hAnsi="Calibri" w:cs="Calibri"/>
                <w:sz w:val="20"/>
                <w:szCs w:val="20"/>
              </w:rPr>
              <w:t>1993 - 2000</w:t>
            </w:r>
          </w:p>
        </w:tc>
        <w:tc>
          <w:tcPr>
            <w:tcW w:w="953" w:type="dxa"/>
            <w:tcBorders>
              <w:top w:val="nil"/>
              <w:left w:val="nil"/>
              <w:bottom w:val="single" w:sz="4" w:space="0" w:color="auto"/>
              <w:right w:val="single" w:sz="4" w:space="0" w:color="auto"/>
            </w:tcBorders>
            <w:shd w:val="clear" w:color="auto" w:fill="ABD9F8" w:themeFill="accent1" w:themeFillTint="66"/>
            <w:vAlign w:val="center"/>
          </w:tcPr>
          <w:p w:rsidR="007B2900" w:rsidRPr="00F3601A" w:rsidRDefault="007B2900" w:rsidP="00DE2792">
            <w:pPr>
              <w:rPr>
                <w:rFonts w:ascii="Calibri" w:hAnsi="Calibri" w:cs="Calibri"/>
                <w:sz w:val="20"/>
                <w:szCs w:val="20"/>
              </w:rPr>
            </w:pPr>
            <w:r w:rsidRPr="00F3601A">
              <w:rPr>
                <w:rFonts w:ascii="Calibri" w:hAnsi="Calibri" w:cs="Calibri"/>
                <w:sz w:val="20"/>
                <w:szCs w:val="20"/>
              </w:rPr>
              <w:t>Don't know</w:t>
            </w:r>
          </w:p>
        </w:tc>
        <w:tc>
          <w:tcPr>
            <w:tcW w:w="1238" w:type="dxa"/>
            <w:tcBorders>
              <w:top w:val="nil"/>
              <w:left w:val="nil"/>
              <w:bottom w:val="single" w:sz="4" w:space="0" w:color="auto"/>
              <w:right w:val="single" w:sz="4" w:space="0" w:color="auto"/>
            </w:tcBorders>
            <w:shd w:val="clear" w:color="auto" w:fill="ABD9F8" w:themeFill="accent1" w:themeFillTint="66"/>
            <w:vAlign w:val="center"/>
          </w:tcPr>
          <w:p w:rsidR="007B2900" w:rsidRPr="00F3601A" w:rsidRDefault="007B2900" w:rsidP="00DE2792">
            <w:pPr>
              <w:rPr>
                <w:rFonts w:ascii="Calibri" w:hAnsi="Calibri" w:cs="Calibri"/>
                <w:sz w:val="20"/>
                <w:szCs w:val="20"/>
              </w:rPr>
            </w:pPr>
            <w:r w:rsidRPr="00F3601A">
              <w:rPr>
                <w:rFonts w:ascii="Calibri" w:hAnsi="Calibri" w:cs="Calibri"/>
                <w:sz w:val="20"/>
                <w:szCs w:val="20"/>
              </w:rPr>
              <w:t>Don't know</w:t>
            </w:r>
          </w:p>
        </w:tc>
        <w:tc>
          <w:tcPr>
            <w:tcW w:w="1701" w:type="dxa"/>
            <w:tcBorders>
              <w:top w:val="nil"/>
              <w:left w:val="nil"/>
              <w:bottom w:val="single" w:sz="4" w:space="0" w:color="auto"/>
              <w:right w:val="single" w:sz="4" w:space="0" w:color="auto"/>
            </w:tcBorders>
            <w:shd w:val="clear" w:color="auto" w:fill="ABD9F8" w:themeFill="accent1" w:themeFillTint="66"/>
            <w:vAlign w:val="center"/>
          </w:tcPr>
          <w:p w:rsidR="007B2900" w:rsidRPr="00F3601A" w:rsidRDefault="007B2900" w:rsidP="00DE2792">
            <w:pPr>
              <w:rPr>
                <w:rFonts w:ascii="Calibri" w:hAnsi="Calibri" w:cs="Calibri"/>
                <w:sz w:val="20"/>
                <w:szCs w:val="20"/>
              </w:rPr>
            </w:pPr>
            <w:r w:rsidRPr="00F3601A">
              <w:rPr>
                <w:rFonts w:ascii="Calibri" w:hAnsi="Calibri" w:cs="Calibri"/>
                <w:sz w:val="20"/>
                <w:szCs w:val="20"/>
              </w:rPr>
              <w:t>Don't know</w:t>
            </w:r>
          </w:p>
        </w:tc>
      </w:tr>
      <w:tr w:rsidR="007B2900" w:rsidTr="00DE2792">
        <w:tc>
          <w:tcPr>
            <w:tcW w:w="509" w:type="dxa"/>
            <w:vAlign w:val="center"/>
          </w:tcPr>
          <w:p w:rsidR="007B2900" w:rsidRPr="002A7417" w:rsidRDefault="007B2900" w:rsidP="00DE2792">
            <w:pPr>
              <w:rPr>
                <w:rFonts w:cstheme="minorHAnsi"/>
                <w:b/>
                <w:i/>
                <w:sz w:val="20"/>
                <w:szCs w:val="20"/>
              </w:rPr>
            </w:pPr>
            <w:r w:rsidRPr="002A7417">
              <w:rPr>
                <w:rFonts w:cstheme="minorHAnsi"/>
                <w:b/>
                <w:i/>
                <w:sz w:val="20"/>
                <w:szCs w:val="20"/>
              </w:rPr>
              <w:t>27</w:t>
            </w:r>
          </w:p>
        </w:tc>
        <w:tc>
          <w:tcPr>
            <w:tcW w:w="3018" w:type="dxa"/>
            <w:tcBorders>
              <w:top w:val="nil"/>
              <w:left w:val="single" w:sz="4" w:space="0" w:color="auto"/>
              <w:bottom w:val="single" w:sz="4" w:space="0" w:color="auto"/>
              <w:right w:val="single" w:sz="4" w:space="0" w:color="auto"/>
            </w:tcBorders>
            <w:shd w:val="clear" w:color="auto" w:fill="auto"/>
            <w:vAlign w:val="center"/>
          </w:tcPr>
          <w:p w:rsidR="007B2900" w:rsidRPr="00F3601A" w:rsidRDefault="007B2900" w:rsidP="00DE2792">
            <w:pPr>
              <w:rPr>
                <w:rFonts w:ascii="Calibri" w:hAnsi="Calibri" w:cs="Calibri"/>
                <w:sz w:val="20"/>
                <w:szCs w:val="20"/>
              </w:rPr>
            </w:pPr>
            <w:r>
              <w:rPr>
                <w:rFonts w:ascii="Calibri" w:hAnsi="Calibri" w:cs="Calibri"/>
                <w:sz w:val="20"/>
                <w:szCs w:val="20"/>
              </w:rPr>
              <w:t>H</w:t>
            </w:r>
            <w:r w:rsidRPr="00F3601A">
              <w:rPr>
                <w:rFonts w:ascii="Calibri" w:hAnsi="Calibri" w:cs="Calibri"/>
                <w:sz w:val="20"/>
                <w:szCs w:val="20"/>
              </w:rPr>
              <w:t>epatitis C</w:t>
            </w:r>
          </w:p>
        </w:tc>
        <w:tc>
          <w:tcPr>
            <w:tcW w:w="946" w:type="dxa"/>
            <w:tcBorders>
              <w:top w:val="nil"/>
              <w:left w:val="nil"/>
              <w:bottom w:val="single" w:sz="4" w:space="0" w:color="auto"/>
              <w:right w:val="single" w:sz="4" w:space="0" w:color="auto"/>
            </w:tcBorders>
            <w:shd w:val="clear" w:color="auto" w:fill="auto"/>
            <w:vAlign w:val="center"/>
          </w:tcPr>
          <w:p w:rsidR="007B2900" w:rsidRPr="00F3601A" w:rsidRDefault="007B2900" w:rsidP="00DE2792">
            <w:pPr>
              <w:rPr>
                <w:rFonts w:ascii="Calibri" w:hAnsi="Calibri" w:cs="Calibri"/>
                <w:sz w:val="20"/>
                <w:szCs w:val="20"/>
              </w:rPr>
            </w:pPr>
            <w:r w:rsidRPr="00F3601A">
              <w:rPr>
                <w:rFonts w:ascii="Calibri" w:hAnsi="Calibri" w:cs="Calibri"/>
                <w:sz w:val="20"/>
                <w:szCs w:val="20"/>
              </w:rPr>
              <w:t>Consensus Conference</w:t>
            </w:r>
          </w:p>
        </w:tc>
        <w:tc>
          <w:tcPr>
            <w:tcW w:w="2146" w:type="dxa"/>
            <w:tcBorders>
              <w:top w:val="nil"/>
              <w:left w:val="nil"/>
              <w:bottom w:val="single" w:sz="4" w:space="0" w:color="auto"/>
              <w:right w:val="single" w:sz="4" w:space="0" w:color="auto"/>
            </w:tcBorders>
            <w:shd w:val="clear" w:color="auto" w:fill="auto"/>
            <w:vAlign w:val="center"/>
          </w:tcPr>
          <w:p w:rsidR="007B2900" w:rsidRPr="00F3601A" w:rsidRDefault="007B2900" w:rsidP="00DE2792">
            <w:pPr>
              <w:rPr>
                <w:rFonts w:ascii="Calibri" w:hAnsi="Calibri" w:cs="Calibri"/>
                <w:sz w:val="20"/>
                <w:szCs w:val="20"/>
              </w:rPr>
            </w:pPr>
            <w:r w:rsidRPr="00F3601A">
              <w:rPr>
                <w:rFonts w:ascii="Calibri" w:hAnsi="Calibri" w:cs="Calibri"/>
                <w:sz w:val="20"/>
                <w:szCs w:val="20"/>
              </w:rPr>
              <w:t>Don't know</w:t>
            </w:r>
          </w:p>
        </w:tc>
        <w:tc>
          <w:tcPr>
            <w:tcW w:w="688" w:type="dxa"/>
            <w:tcBorders>
              <w:top w:val="nil"/>
              <w:left w:val="nil"/>
              <w:bottom w:val="single" w:sz="4" w:space="0" w:color="auto"/>
              <w:right w:val="single" w:sz="4" w:space="0" w:color="auto"/>
            </w:tcBorders>
            <w:shd w:val="clear" w:color="auto" w:fill="auto"/>
            <w:vAlign w:val="center"/>
          </w:tcPr>
          <w:p w:rsidR="007B2900" w:rsidRPr="00F3601A" w:rsidRDefault="007B2900" w:rsidP="00DE2792">
            <w:pPr>
              <w:rPr>
                <w:rFonts w:ascii="Calibri" w:hAnsi="Calibri" w:cs="Calibri"/>
                <w:sz w:val="20"/>
                <w:szCs w:val="20"/>
              </w:rPr>
            </w:pPr>
            <w:r w:rsidRPr="00F3601A">
              <w:rPr>
                <w:rFonts w:ascii="Calibri" w:hAnsi="Calibri" w:cs="Calibri"/>
                <w:sz w:val="20"/>
                <w:szCs w:val="20"/>
              </w:rPr>
              <w:t>1997 - 2002 (Held every 6 months)</w:t>
            </w:r>
          </w:p>
        </w:tc>
        <w:tc>
          <w:tcPr>
            <w:tcW w:w="953" w:type="dxa"/>
            <w:tcBorders>
              <w:top w:val="nil"/>
              <w:left w:val="nil"/>
              <w:bottom w:val="single" w:sz="4" w:space="0" w:color="auto"/>
              <w:right w:val="single" w:sz="4" w:space="0" w:color="auto"/>
            </w:tcBorders>
            <w:shd w:val="clear" w:color="auto" w:fill="auto"/>
            <w:vAlign w:val="center"/>
          </w:tcPr>
          <w:p w:rsidR="007B2900" w:rsidRPr="00F3601A" w:rsidRDefault="007B2900" w:rsidP="00DE2792">
            <w:pPr>
              <w:rPr>
                <w:rFonts w:ascii="Calibri" w:hAnsi="Calibri" w:cs="Calibri"/>
                <w:sz w:val="20"/>
                <w:szCs w:val="20"/>
              </w:rPr>
            </w:pPr>
            <w:r w:rsidRPr="00F3601A">
              <w:rPr>
                <w:rFonts w:ascii="Calibri" w:hAnsi="Calibri" w:cs="Calibri"/>
                <w:sz w:val="20"/>
                <w:szCs w:val="20"/>
              </w:rPr>
              <w:t>Don't know</w:t>
            </w:r>
          </w:p>
        </w:tc>
        <w:tc>
          <w:tcPr>
            <w:tcW w:w="1238" w:type="dxa"/>
            <w:tcBorders>
              <w:top w:val="nil"/>
              <w:left w:val="nil"/>
              <w:bottom w:val="single" w:sz="4" w:space="0" w:color="auto"/>
              <w:right w:val="single" w:sz="4" w:space="0" w:color="auto"/>
            </w:tcBorders>
            <w:shd w:val="clear" w:color="auto" w:fill="auto"/>
            <w:vAlign w:val="center"/>
          </w:tcPr>
          <w:p w:rsidR="007B2900" w:rsidRPr="00F3601A" w:rsidRDefault="007B2900" w:rsidP="00DE2792">
            <w:pPr>
              <w:rPr>
                <w:rFonts w:ascii="Calibri" w:hAnsi="Calibri" w:cs="Calibri"/>
                <w:sz w:val="20"/>
                <w:szCs w:val="20"/>
              </w:rPr>
            </w:pPr>
            <w:r w:rsidRPr="00F3601A">
              <w:rPr>
                <w:rFonts w:ascii="Calibri" w:hAnsi="Calibri" w:cs="Calibri"/>
                <w:sz w:val="20"/>
                <w:szCs w:val="20"/>
              </w:rPr>
              <w:t>Don't know</w:t>
            </w:r>
          </w:p>
        </w:tc>
        <w:tc>
          <w:tcPr>
            <w:tcW w:w="1701" w:type="dxa"/>
            <w:tcBorders>
              <w:top w:val="nil"/>
              <w:left w:val="nil"/>
              <w:bottom w:val="single" w:sz="4" w:space="0" w:color="auto"/>
              <w:right w:val="single" w:sz="4" w:space="0" w:color="auto"/>
            </w:tcBorders>
            <w:shd w:val="clear" w:color="auto" w:fill="auto"/>
            <w:vAlign w:val="center"/>
          </w:tcPr>
          <w:p w:rsidR="007B2900" w:rsidRPr="00F3601A" w:rsidRDefault="007B2900" w:rsidP="00DE2792">
            <w:pPr>
              <w:rPr>
                <w:rFonts w:ascii="Calibri" w:hAnsi="Calibri" w:cs="Calibri"/>
                <w:sz w:val="20"/>
                <w:szCs w:val="20"/>
              </w:rPr>
            </w:pPr>
            <w:r w:rsidRPr="00F3601A">
              <w:rPr>
                <w:rFonts w:ascii="Calibri" w:hAnsi="Calibri" w:cs="Calibri"/>
                <w:sz w:val="20"/>
                <w:szCs w:val="20"/>
              </w:rPr>
              <w:t>Don't know</w:t>
            </w:r>
          </w:p>
        </w:tc>
      </w:tr>
      <w:tr w:rsidR="007B2900" w:rsidTr="00DE2792">
        <w:tc>
          <w:tcPr>
            <w:tcW w:w="509" w:type="dxa"/>
            <w:shd w:val="clear" w:color="auto" w:fill="ABD9F8" w:themeFill="accent1" w:themeFillTint="66"/>
            <w:vAlign w:val="center"/>
          </w:tcPr>
          <w:p w:rsidR="007B2900" w:rsidRPr="002A7417" w:rsidRDefault="007B2900" w:rsidP="00DE2792">
            <w:pPr>
              <w:rPr>
                <w:rFonts w:cstheme="minorHAnsi"/>
                <w:b/>
                <w:i/>
                <w:sz w:val="20"/>
                <w:szCs w:val="20"/>
              </w:rPr>
            </w:pPr>
            <w:r w:rsidRPr="002A7417">
              <w:rPr>
                <w:rFonts w:cstheme="minorHAnsi"/>
                <w:b/>
                <w:i/>
                <w:sz w:val="20"/>
                <w:szCs w:val="20"/>
              </w:rPr>
              <w:t>28</w:t>
            </w:r>
          </w:p>
        </w:tc>
        <w:tc>
          <w:tcPr>
            <w:tcW w:w="3018" w:type="dxa"/>
            <w:tcBorders>
              <w:top w:val="nil"/>
              <w:left w:val="single" w:sz="4" w:space="0" w:color="auto"/>
              <w:bottom w:val="single" w:sz="4" w:space="0" w:color="auto"/>
              <w:right w:val="single" w:sz="4" w:space="0" w:color="auto"/>
            </w:tcBorders>
            <w:shd w:val="clear" w:color="auto" w:fill="ABD9F8" w:themeFill="accent1" w:themeFillTint="66"/>
            <w:vAlign w:val="center"/>
          </w:tcPr>
          <w:p w:rsidR="007B2900" w:rsidRPr="00F3601A" w:rsidRDefault="007B2900" w:rsidP="00DE2792">
            <w:pPr>
              <w:rPr>
                <w:rFonts w:ascii="Calibri" w:hAnsi="Calibri" w:cs="Calibri"/>
                <w:sz w:val="20"/>
                <w:szCs w:val="20"/>
              </w:rPr>
            </w:pPr>
            <w:r>
              <w:rPr>
                <w:rFonts w:ascii="Calibri" w:hAnsi="Calibri" w:cs="Calibri"/>
                <w:sz w:val="20"/>
                <w:szCs w:val="20"/>
              </w:rPr>
              <w:t>C</w:t>
            </w:r>
            <w:r w:rsidRPr="00F3601A">
              <w:rPr>
                <w:rFonts w:ascii="Calibri" w:hAnsi="Calibri" w:cs="Calibri"/>
                <w:sz w:val="20"/>
                <w:szCs w:val="20"/>
              </w:rPr>
              <w:t>hronically medicated psychotic disorders</w:t>
            </w:r>
          </w:p>
        </w:tc>
        <w:tc>
          <w:tcPr>
            <w:tcW w:w="946" w:type="dxa"/>
            <w:tcBorders>
              <w:top w:val="nil"/>
              <w:left w:val="nil"/>
              <w:bottom w:val="single" w:sz="4" w:space="0" w:color="auto"/>
              <w:right w:val="single" w:sz="4" w:space="0" w:color="auto"/>
            </w:tcBorders>
            <w:shd w:val="clear" w:color="auto" w:fill="ABD9F8" w:themeFill="accent1" w:themeFillTint="66"/>
            <w:vAlign w:val="center"/>
          </w:tcPr>
          <w:p w:rsidR="007B2900" w:rsidRPr="00F3601A" w:rsidRDefault="007B2900" w:rsidP="00DE2792">
            <w:pPr>
              <w:rPr>
                <w:rFonts w:ascii="Calibri" w:hAnsi="Calibri" w:cs="Calibri"/>
                <w:sz w:val="20"/>
                <w:szCs w:val="20"/>
              </w:rPr>
            </w:pPr>
            <w:r w:rsidRPr="00F3601A">
              <w:rPr>
                <w:rFonts w:ascii="Calibri" w:hAnsi="Calibri" w:cs="Calibri"/>
                <w:sz w:val="20"/>
                <w:szCs w:val="20"/>
              </w:rPr>
              <w:t>Consensus Conference</w:t>
            </w:r>
          </w:p>
        </w:tc>
        <w:tc>
          <w:tcPr>
            <w:tcW w:w="2146" w:type="dxa"/>
            <w:tcBorders>
              <w:top w:val="nil"/>
              <w:left w:val="nil"/>
              <w:bottom w:val="single" w:sz="4" w:space="0" w:color="auto"/>
              <w:right w:val="single" w:sz="4" w:space="0" w:color="auto"/>
            </w:tcBorders>
            <w:shd w:val="clear" w:color="auto" w:fill="ABD9F8" w:themeFill="accent1" w:themeFillTint="66"/>
            <w:vAlign w:val="center"/>
          </w:tcPr>
          <w:p w:rsidR="007B2900" w:rsidRPr="00F3601A" w:rsidRDefault="007B2900" w:rsidP="00DE2792">
            <w:pPr>
              <w:rPr>
                <w:rFonts w:ascii="Calibri" w:hAnsi="Calibri" w:cs="Calibri"/>
                <w:sz w:val="20"/>
                <w:szCs w:val="20"/>
              </w:rPr>
            </w:pPr>
            <w:r w:rsidRPr="00F3601A">
              <w:rPr>
                <w:rFonts w:ascii="Calibri" w:hAnsi="Calibri" w:cs="Calibri"/>
                <w:sz w:val="20"/>
                <w:szCs w:val="20"/>
              </w:rPr>
              <w:t>Don't know</w:t>
            </w:r>
          </w:p>
        </w:tc>
        <w:tc>
          <w:tcPr>
            <w:tcW w:w="688" w:type="dxa"/>
            <w:tcBorders>
              <w:top w:val="nil"/>
              <w:left w:val="nil"/>
              <w:bottom w:val="single" w:sz="4" w:space="0" w:color="auto"/>
              <w:right w:val="single" w:sz="4" w:space="0" w:color="auto"/>
            </w:tcBorders>
            <w:shd w:val="clear" w:color="auto" w:fill="ABD9F8" w:themeFill="accent1" w:themeFillTint="66"/>
            <w:vAlign w:val="center"/>
          </w:tcPr>
          <w:p w:rsidR="007B2900" w:rsidRPr="00F3601A" w:rsidRDefault="007B2900" w:rsidP="00DE2792">
            <w:pPr>
              <w:rPr>
                <w:rFonts w:ascii="Calibri" w:hAnsi="Calibri" w:cs="Calibri"/>
                <w:sz w:val="20"/>
                <w:szCs w:val="20"/>
              </w:rPr>
            </w:pPr>
            <w:r w:rsidRPr="00F3601A">
              <w:rPr>
                <w:rFonts w:ascii="Calibri" w:hAnsi="Calibri" w:cs="Calibri"/>
                <w:sz w:val="20"/>
                <w:szCs w:val="20"/>
              </w:rPr>
              <w:t>Don't know</w:t>
            </w:r>
          </w:p>
        </w:tc>
        <w:tc>
          <w:tcPr>
            <w:tcW w:w="953" w:type="dxa"/>
            <w:tcBorders>
              <w:top w:val="nil"/>
              <w:left w:val="nil"/>
              <w:bottom w:val="single" w:sz="4" w:space="0" w:color="auto"/>
              <w:right w:val="single" w:sz="4" w:space="0" w:color="auto"/>
            </w:tcBorders>
            <w:shd w:val="clear" w:color="auto" w:fill="ABD9F8" w:themeFill="accent1" w:themeFillTint="66"/>
            <w:vAlign w:val="center"/>
          </w:tcPr>
          <w:p w:rsidR="007B2900" w:rsidRPr="00F3601A" w:rsidRDefault="007B2900" w:rsidP="00DE2792">
            <w:pPr>
              <w:rPr>
                <w:rFonts w:ascii="Calibri" w:hAnsi="Calibri" w:cs="Calibri"/>
                <w:sz w:val="20"/>
                <w:szCs w:val="20"/>
              </w:rPr>
            </w:pPr>
            <w:r w:rsidRPr="00F3601A">
              <w:rPr>
                <w:rFonts w:ascii="Calibri" w:hAnsi="Calibri" w:cs="Calibri"/>
                <w:sz w:val="20"/>
                <w:szCs w:val="20"/>
              </w:rPr>
              <w:t>Don't know</w:t>
            </w:r>
          </w:p>
        </w:tc>
        <w:tc>
          <w:tcPr>
            <w:tcW w:w="1238" w:type="dxa"/>
            <w:tcBorders>
              <w:top w:val="nil"/>
              <w:left w:val="nil"/>
              <w:bottom w:val="single" w:sz="4" w:space="0" w:color="auto"/>
              <w:right w:val="single" w:sz="4" w:space="0" w:color="auto"/>
            </w:tcBorders>
            <w:shd w:val="clear" w:color="auto" w:fill="ABD9F8" w:themeFill="accent1" w:themeFillTint="66"/>
            <w:vAlign w:val="center"/>
          </w:tcPr>
          <w:p w:rsidR="007B2900" w:rsidRPr="00F3601A" w:rsidRDefault="007B2900" w:rsidP="00DE2792">
            <w:pPr>
              <w:rPr>
                <w:rFonts w:ascii="Calibri" w:hAnsi="Calibri" w:cs="Calibri"/>
                <w:sz w:val="20"/>
                <w:szCs w:val="20"/>
              </w:rPr>
            </w:pPr>
            <w:r w:rsidRPr="00F3601A">
              <w:rPr>
                <w:rFonts w:ascii="Calibri" w:hAnsi="Calibri" w:cs="Calibri"/>
                <w:sz w:val="20"/>
                <w:szCs w:val="20"/>
              </w:rPr>
              <w:t>Don't know</w:t>
            </w:r>
          </w:p>
        </w:tc>
        <w:tc>
          <w:tcPr>
            <w:tcW w:w="1701" w:type="dxa"/>
            <w:tcBorders>
              <w:top w:val="nil"/>
              <w:left w:val="nil"/>
              <w:bottom w:val="single" w:sz="4" w:space="0" w:color="auto"/>
              <w:right w:val="single" w:sz="4" w:space="0" w:color="auto"/>
            </w:tcBorders>
            <w:shd w:val="clear" w:color="auto" w:fill="ABD9F8" w:themeFill="accent1" w:themeFillTint="66"/>
            <w:vAlign w:val="center"/>
          </w:tcPr>
          <w:p w:rsidR="007B2900" w:rsidRPr="00F3601A" w:rsidRDefault="007B2900" w:rsidP="00DE2792">
            <w:pPr>
              <w:rPr>
                <w:rFonts w:ascii="Calibri" w:hAnsi="Calibri" w:cs="Calibri"/>
                <w:sz w:val="20"/>
                <w:szCs w:val="20"/>
              </w:rPr>
            </w:pPr>
            <w:r w:rsidRPr="00F3601A">
              <w:rPr>
                <w:rFonts w:ascii="Calibri" w:hAnsi="Calibri" w:cs="Calibri"/>
                <w:sz w:val="20"/>
                <w:szCs w:val="20"/>
              </w:rPr>
              <w:t>Don't know</w:t>
            </w:r>
          </w:p>
        </w:tc>
      </w:tr>
      <w:tr w:rsidR="007B2900" w:rsidTr="00DE2792">
        <w:tc>
          <w:tcPr>
            <w:tcW w:w="509" w:type="dxa"/>
            <w:vAlign w:val="center"/>
          </w:tcPr>
          <w:p w:rsidR="007B2900" w:rsidRPr="002A7417" w:rsidRDefault="007B2900" w:rsidP="00DE2792">
            <w:pPr>
              <w:rPr>
                <w:rFonts w:cstheme="minorHAnsi"/>
                <w:b/>
                <w:i/>
                <w:sz w:val="20"/>
                <w:szCs w:val="20"/>
              </w:rPr>
            </w:pPr>
            <w:r w:rsidRPr="002A7417">
              <w:rPr>
                <w:rFonts w:cstheme="minorHAnsi"/>
                <w:b/>
                <w:i/>
                <w:sz w:val="20"/>
                <w:szCs w:val="20"/>
              </w:rPr>
              <w:t>29</w:t>
            </w:r>
          </w:p>
        </w:tc>
        <w:tc>
          <w:tcPr>
            <w:tcW w:w="3018" w:type="dxa"/>
            <w:tcBorders>
              <w:top w:val="nil"/>
              <w:left w:val="single" w:sz="4" w:space="0" w:color="auto"/>
              <w:bottom w:val="single" w:sz="4" w:space="0" w:color="auto"/>
              <w:right w:val="single" w:sz="4" w:space="0" w:color="auto"/>
            </w:tcBorders>
            <w:shd w:val="clear" w:color="auto" w:fill="auto"/>
            <w:vAlign w:val="center"/>
          </w:tcPr>
          <w:p w:rsidR="007B2900" w:rsidRPr="00F3601A" w:rsidRDefault="007B2900" w:rsidP="00DE2792">
            <w:pPr>
              <w:rPr>
                <w:rFonts w:ascii="Calibri" w:hAnsi="Calibri" w:cs="Calibri"/>
                <w:sz w:val="20"/>
                <w:szCs w:val="20"/>
              </w:rPr>
            </w:pPr>
            <w:r>
              <w:rPr>
                <w:rFonts w:ascii="Calibri" w:hAnsi="Calibri" w:cs="Calibri"/>
                <w:sz w:val="20"/>
                <w:szCs w:val="20"/>
              </w:rPr>
              <w:t>T</w:t>
            </w:r>
            <w:r w:rsidRPr="00F3601A">
              <w:rPr>
                <w:rFonts w:ascii="Calibri" w:hAnsi="Calibri" w:cs="Calibri"/>
                <w:sz w:val="20"/>
                <w:szCs w:val="20"/>
              </w:rPr>
              <w:t>eaching and learning in schools</w:t>
            </w:r>
          </w:p>
        </w:tc>
        <w:tc>
          <w:tcPr>
            <w:tcW w:w="946" w:type="dxa"/>
            <w:tcBorders>
              <w:top w:val="nil"/>
              <w:left w:val="nil"/>
              <w:bottom w:val="single" w:sz="4" w:space="0" w:color="auto"/>
              <w:right w:val="single" w:sz="4" w:space="0" w:color="auto"/>
            </w:tcBorders>
            <w:shd w:val="clear" w:color="auto" w:fill="auto"/>
            <w:vAlign w:val="center"/>
          </w:tcPr>
          <w:p w:rsidR="007B2900" w:rsidRPr="00F3601A" w:rsidRDefault="007B2900" w:rsidP="00DE2792">
            <w:pPr>
              <w:rPr>
                <w:rFonts w:ascii="Calibri" w:hAnsi="Calibri" w:cs="Calibri"/>
                <w:sz w:val="20"/>
                <w:szCs w:val="20"/>
              </w:rPr>
            </w:pPr>
            <w:r w:rsidRPr="00F3601A">
              <w:rPr>
                <w:rFonts w:ascii="Calibri" w:hAnsi="Calibri" w:cs="Calibri"/>
                <w:sz w:val="20"/>
                <w:szCs w:val="20"/>
              </w:rPr>
              <w:t>Consensus Conference</w:t>
            </w:r>
          </w:p>
        </w:tc>
        <w:tc>
          <w:tcPr>
            <w:tcW w:w="2146" w:type="dxa"/>
            <w:tcBorders>
              <w:top w:val="nil"/>
              <w:left w:val="nil"/>
              <w:bottom w:val="single" w:sz="4" w:space="0" w:color="auto"/>
              <w:right w:val="single" w:sz="4" w:space="0" w:color="auto"/>
            </w:tcBorders>
            <w:shd w:val="clear" w:color="auto" w:fill="auto"/>
            <w:vAlign w:val="center"/>
          </w:tcPr>
          <w:p w:rsidR="007B2900" w:rsidRPr="00F3601A" w:rsidRDefault="007B2900" w:rsidP="00DE2792">
            <w:pPr>
              <w:rPr>
                <w:rFonts w:ascii="Calibri" w:hAnsi="Calibri" w:cs="Calibri"/>
                <w:sz w:val="20"/>
                <w:szCs w:val="20"/>
              </w:rPr>
            </w:pPr>
            <w:r w:rsidRPr="00F3601A">
              <w:rPr>
                <w:rFonts w:ascii="Calibri" w:hAnsi="Calibri" w:cs="Calibri"/>
                <w:sz w:val="20"/>
                <w:szCs w:val="20"/>
              </w:rPr>
              <w:t>Paris</w:t>
            </w:r>
          </w:p>
        </w:tc>
        <w:tc>
          <w:tcPr>
            <w:tcW w:w="688" w:type="dxa"/>
            <w:tcBorders>
              <w:top w:val="nil"/>
              <w:left w:val="nil"/>
              <w:bottom w:val="single" w:sz="4" w:space="0" w:color="auto"/>
              <w:right w:val="single" w:sz="4" w:space="0" w:color="auto"/>
            </w:tcBorders>
            <w:shd w:val="clear" w:color="auto" w:fill="auto"/>
            <w:vAlign w:val="center"/>
          </w:tcPr>
          <w:p w:rsidR="007B2900" w:rsidRPr="00F3601A" w:rsidRDefault="007B2900" w:rsidP="00DE2792">
            <w:pPr>
              <w:rPr>
                <w:rFonts w:ascii="Calibri" w:hAnsi="Calibri" w:cs="Calibri"/>
                <w:sz w:val="20"/>
                <w:szCs w:val="20"/>
              </w:rPr>
            </w:pPr>
            <w:r>
              <w:rPr>
                <w:rFonts w:ascii="Calibri" w:hAnsi="Calibri" w:cs="Calibri"/>
                <w:sz w:val="20"/>
                <w:szCs w:val="20"/>
              </w:rPr>
              <w:t>Jan 20</w:t>
            </w:r>
            <w:r w:rsidRPr="00F3601A">
              <w:rPr>
                <w:rFonts w:ascii="Calibri" w:hAnsi="Calibri" w:cs="Calibri"/>
                <w:sz w:val="20"/>
                <w:szCs w:val="20"/>
              </w:rPr>
              <w:t>15</w:t>
            </w:r>
          </w:p>
        </w:tc>
        <w:tc>
          <w:tcPr>
            <w:tcW w:w="953" w:type="dxa"/>
            <w:tcBorders>
              <w:top w:val="nil"/>
              <w:left w:val="nil"/>
              <w:bottom w:val="single" w:sz="4" w:space="0" w:color="auto"/>
              <w:right w:val="single" w:sz="4" w:space="0" w:color="auto"/>
            </w:tcBorders>
            <w:shd w:val="clear" w:color="auto" w:fill="auto"/>
            <w:vAlign w:val="center"/>
          </w:tcPr>
          <w:p w:rsidR="007B2900" w:rsidRPr="00F3601A" w:rsidRDefault="007B2900" w:rsidP="00DE2792">
            <w:pPr>
              <w:rPr>
                <w:rFonts w:ascii="Calibri" w:hAnsi="Calibri" w:cs="Calibri"/>
                <w:sz w:val="20"/>
                <w:szCs w:val="20"/>
              </w:rPr>
            </w:pPr>
            <w:r w:rsidRPr="00F3601A">
              <w:rPr>
                <w:rFonts w:ascii="Calibri" w:hAnsi="Calibri" w:cs="Calibri"/>
                <w:sz w:val="20"/>
                <w:szCs w:val="20"/>
              </w:rPr>
              <w:t>2 days</w:t>
            </w:r>
          </w:p>
        </w:tc>
        <w:tc>
          <w:tcPr>
            <w:tcW w:w="1238" w:type="dxa"/>
            <w:tcBorders>
              <w:top w:val="nil"/>
              <w:left w:val="nil"/>
              <w:bottom w:val="single" w:sz="4" w:space="0" w:color="auto"/>
              <w:right w:val="single" w:sz="4" w:space="0" w:color="auto"/>
            </w:tcBorders>
            <w:shd w:val="clear" w:color="auto" w:fill="auto"/>
            <w:vAlign w:val="center"/>
          </w:tcPr>
          <w:p w:rsidR="007B2900" w:rsidRPr="00F3601A" w:rsidRDefault="007B2900" w:rsidP="00DE2792">
            <w:pPr>
              <w:rPr>
                <w:rFonts w:ascii="Calibri" w:hAnsi="Calibri" w:cs="Calibri"/>
                <w:sz w:val="20"/>
                <w:szCs w:val="20"/>
              </w:rPr>
            </w:pPr>
            <w:r w:rsidRPr="00F3601A">
              <w:rPr>
                <w:rFonts w:ascii="Calibri" w:hAnsi="Calibri" w:cs="Calibri"/>
                <w:sz w:val="20"/>
                <w:szCs w:val="20"/>
              </w:rPr>
              <w:t>25</w:t>
            </w:r>
          </w:p>
        </w:tc>
        <w:tc>
          <w:tcPr>
            <w:tcW w:w="1701" w:type="dxa"/>
            <w:tcBorders>
              <w:top w:val="nil"/>
              <w:left w:val="nil"/>
              <w:bottom w:val="single" w:sz="4" w:space="0" w:color="auto"/>
              <w:right w:val="single" w:sz="4" w:space="0" w:color="auto"/>
            </w:tcBorders>
            <w:shd w:val="clear" w:color="auto" w:fill="auto"/>
            <w:vAlign w:val="center"/>
          </w:tcPr>
          <w:p w:rsidR="007B2900" w:rsidRPr="00F3601A" w:rsidRDefault="007B2900" w:rsidP="00DE2792">
            <w:pPr>
              <w:rPr>
                <w:rFonts w:ascii="Calibri" w:hAnsi="Calibri" w:cs="Calibri"/>
                <w:sz w:val="20"/>
                <w:szCs w:val="20"/>
              </w:rPr>
            </w:pPr>
            <w:r w:rsidRPr="00F3601A">
              <w:rPr>
                <w:rFonts w:ascii="Calibri" w:hAnsi="Calibri" w:cs="Calibri"/>
                <w:sz w:val="20"/>
                <w:szCs w:val="20"/>
              </w:rPr>
              <w:t>Don't know</w:t>
            </w:r>
          </w:p>
        </w:tc>
      </w:tr>
    </w:tbl>
    <w:p w:rsidR="00F6330E" w:rsidRPr="001E7CB0" w:rsidRDefault="00F6330E" w:rsidP="0052562D">
      <w:pPr>
        <w:rPr>
          <w:b/>
          <w:color w:val="0B5484" w:themeColor="accent1" w:themeShade="80"/>
          <w:sz w:val="28"/>
          <w:szCs w:val="28"/>
        </w:rPr>
      </w:pPr>
    </w:p>
    <w:p w:rsidR="001D39E7" w:rsidRPr="005A7A23" w:rsidRDefault="001D39E7" w:rsidP="001D39E7">
      <w:pPr>
        <w:numPr>
          <w:ilvl w:val="0"/>
          <w:numId w:val="12"/>
        </w:numPr>
        <w:rPr>
          <w:b/>
          <w:i/>
          <w:color w:val="0B5484" w:themeColor="accent1" w:themeShade="80"/>
          <w:sz w:val="24"/>
          <w:szCs w:val="24"/>
        </w:rPr>
      </w:pPr>
      <w:r w:rsidRPr="005A7A23">
        <w:rPr>
          <w:b/>
          <w:i/>
          <w:color w:val="0B5484" w:themeColor="accent1" w:themeShade="80"/>
          <w:sz w:val="24"/>
          <w:szCs w:val="24"/>
        </w:rPr>
        <w:t xml:space="preserve">Are there any trends across the cases in each country that suggest the organisational features of the mini-public influence citizens’ engagement with evidence? </w:t>
      </w:r>
    </w:p>
    <w:p w:rsidR="001D39E7" w:rsidRDefault="001D39E7" w:rsidP="001D39E7">
      <w:pPr>
        <w:jc w:val="both"/>
        <w:rPr>
          <w:sz w:val="24"/>
          <w:szCs w:val="24"/>
        </w:rPr>
      </w:pPr>
      <w:r w:rsidRPr="001D39E7">
        <w:rPr>
          <w:sz w:val="24"/>
          <w:szCs w:val="24"/>
        </w:rPr>
        <w:t>There is limited data and research on the Consensus Conferences held in France, and it is not clear how the organisational features influenced citizens’ engagement with evidence. However, there was an interesting insight from a Consensus Conference held on Genetically Modified Organisms (GMOs) in 1998</w:t>
      </w:r>
      <w:r w:rsidR="007B2900">
        <w:rPr>
          <w:sz w:val="24"/>
          <w:szCs w:val="24"/>
        </w:rPr>
        <w:t xml:space="preserve"> (case no. 25)</w:t>
      </w:r>
      <w:r w:rsidRPr="001D39E7">
        <w:rPr>
          <w:sz w:val="24"/>
          <w:szCs w:val="24"/>
        </w:rPr>
        <w:t xml:space="preserve">. This may be reflective of the fact that this Consensus Conference was held 20 years ago, but in a report published in 2007, </w:t>
      </w:r>
      <w:proofErr w:type="spellStart"/>
      <w:r w:rsidRPr="001D39E7">
        <w:rPr>
          <w:sz w:val="24"/>
          <w:szCs w:val="24"/>
        </w:rPr>
        <w:t>Neilsen</w:t>
      </w:r>
      <w:proofErr w:type="spellEnd"/>
      <w:r w:rsidR="00F6330E">
        <w:rPr>
          <w:sz w:val="24"/>
          <w:szCs w:val="24"/>
        </w:rPr>
        <w:t xml:space="preserve"> et al. </w:t>
      </w:r>
      <w:r w:rsidRPr="001D39E7">
        <w:rPr>
          <w:sz w:val="24"/>
          <w:szCs w:val="24"/>
        </w:rPr>
        <w:t>(2007</w:t>
      </w:r>
      <w:r w:rsidR="006D0584">
        <w:rPr>
          <w:sz w:val="24"/>
          <w:szCs w:val="24"/>
        </w:rPr>
        <w:t>:</w:t>
      </w:r>
      <w:r w:rsidR="005A7A23">
        <w:rPr>
          <w:sz w:val="24"/>
          <w:szCs w:val="24"/>
        </w:rPr>
        <w:t xml:space="preserve"> 26) argued that ‘i</w:t>
      </w:r>
      <w:r w:rsidRPr="001D39E7">
        <w:rPr>
          <w:sz w:val="24"/>
          <w:szCs w:val="24"/>
        </w:rPr>
        <w:t>n France, the consensus conference model was perceive</w:t>
      </w:r>
      <w:r w:rsidR="005A7A23">
        <w:rPr>
          <w:sz w:val="24"/>
          <w:szCs w:val="24"/>
        </w:rPr>
        <w:t>d to be somewhat controversial.’ The authors found that ‘</w:t>
      </w:r>
      <w:r w:rsidRPr="001D39E7">
        <w:rPr>
          <w:sz w:val="24"/>
          <w:szCs w:val="24"/>
        </w:rPr>
        <w:t>several interviewees referred to the conference as an unusual procedure that was in some ways incompatible</w:t>
      </w:r>
      <w:r w:rsidR="005A7A23">
        <w:rPr>
          <w:sz w:val="24"/>
          <w:szCs w:val="24"/>
        </w:rPr>
        <w:t xml:space="preserve"> with French political culture.’</w:t>
      </w:r>
      <w:r w:rsidRPr="001D39E7">
        <w:rPr>
          <w:sz w:val="24"/>
          <w:szCs w:val="24"/>
        </w:rPr>
        <w:t xml:space="preserve"> </w:t>
      </w:r>
    </w:p>
    <w:p w:rsidR="00022619" w:rsidRPr="00022619" w:rsidRDefault="00022619" w:rsidP="00022619">
      <w:pPr>
        <w:jc w:val="both"/>
        <w:rPr>
          <w:sz w:val="24"/>
          <w:szCs w:val="24"/>
        </w:rPr>
      </w:pPr>
      <w:proofErr w:type="spellStart"/>
      <w:r w:rsidRPr="00022619">
        <w:rPr>
          <w:sz w:val="24"/>
          <w:szCs w:val="24"/>
        </w:rPr>
        <w:t>Dryzek</w:t>
      </w:r>
      <w:proofErr w:type="spellEnd"/>
      <w:r w:rsidRPr="00022619">
        <w:rPr>
          <w:sz w:val="24"/>
          <w:szCs w:val="24"/>
        </w:rPr>
        <w:t xml:space="preserve"> </w:t>
      </w:r>
      <w:r>
        <w:rPr>
          <w:sz w:val="24"/>
          <w:szCs w:val="24"/>
        </w:rPr>
        <w:t xml:space="preserve">(2010) </w:t>
      </w:r>
      <w:r w:rsidRPr="00022619">
        <w:rPr>
          <w:sz w:val="24"/>
          <w:szCs w:val="24"/>
        </w:rPr>
        <w:t xml:space="preserve">categorises political systems into three broad types, based upon two types of dimensions: whether states are inclusive or exclusive in terms of integrating social interests into the policy process and whether inclusivity and exclusivity is active or passive. Inclusive states accept a myriad of social interests in the policy process, while exclusive states limit the interests that are seen as legitimate participants in the policy process. States that are passively exclusive, </w:t>
      </w:r>
      <w:r w:rsidR="005A7A23">
        <w:rPr>
          <w:sz w:val="24"/>
          <w:szCs w:val="24"/>
        </w:rPr>
        <w:t>such as</w:t>
      </w:r>
      <w:r w:rsidRPr="00022619">
        <w:rPr>
          <w:sz w:val="24"/>
          <w:szCs w:val="24"/>
        </w:rPr>
        <w:t xml:space="preserve"> France, only enable a few select groups to participate in the policy process.</w:t>
      </w:r>
    </w:p>
    <w:p w:rsidR="001D39E7" w:rsidRPr="001D39E7" w:rsidRDefault="007B2900" w:rsidP="001D39E7">
      <w:pPr>
        <w:jc w:val="both"/>
        <w:rPr>
          <w:sz w:val="24"/>
          <w:szCs w:val="24"/>
        </w:rPr>
      </w:pPr>
      <w:r>
        <w:rPr>
          <w:sz w:val="24"/>
          <w:szCs w:val="24"/>
        </w:rPr>
        <w:t>The fact that this mini-</w:t>
      </w:r>
      <w:r w:rsidR="001D39E7" w:rsidRPr="001D39E7">
        <w:rPr>
          <w:sz w:val="24"/>
          <w:szCs w:val="24"/>
        </w:rPr>
        <w:t xml:space="preserve">public was still seen as controversial may explain how the Consensus Conference was organised, and the fact that the focus was on how the session would function, rather than what effects arose from it. As </w:t>
      </w:r>
      <w:proofErr w:type="spellStart"/>
      <w:r w:rsidRPr="001D39E7">
        <w:rPr>
          <w:sz w:val="24"/>
          <w:szCs w:val="24"/>
        </w:rPr>
        <w:t>Neilsen</w:t>
      </w:r>
      <w:proofErr w:type="spellEnd"/>
      <w:r>
        <w:rPr>
          <w:sz w:val="24"/>
          <w:szCs w:val="24"/>
        </w:rPr>
        <w:t xml:space="preserve"> et al. </w:t>
      </w:r>
      <w:r w:rsidR="001D39E7" w:rsidRPr="001D39E7">
        <w:rPr>
          <w:sz w:val="24"/>
          <w:szCs w:val="24"/>
        </w:rPr>
        <w:t>(2007</w:t>
      </w:r>
      <w:r w:rsidR="006D0584">
        <w:rPr>
          <w:sz w:val="24"/>
          <w:szCs w:val="24"/>
        </w:rPr>
        <w:t xml:space="preserve">: </w:t>
      </w:r>
      <w:r w:rsidR="005A7A23">
        <w:rPr>
          <w:sz w:val="24"/>
          <w:szCs w:val="24"/>
        </w:rPr>
        <w:t>26) found, the ‘</w:t>
      </w:r>
      <w:r w:rsidR="001D39E7" w:rsidRPr="001D39E7">
        <w:rPr>
          <w:sz w:val="24"/>
          <w:szCs w:val="24"/>
        </w:rPr>
        <w:t>novelty of the situation meant that the organisers and the steering committee were focussed on how this method could function in a French political context, rather than how well it served as a forum</w:t>
      </w:r>
      <w:r w:rsidR="005A7A23">
        <w:rPr>
          <w:sz w:val="24"/>
          <w:szCs w:val="24"/>
        </w:rPr>
        <w:t xml:space="preserve"> for broadening debates on GMOs</w:t>
      </w:r>
      <w:r w:rsidR="001D39E7" w:rsidRPr="001D39E7">
        <w:rPr>
          <w:sz w:val="24"/>
          <w:szCs w:val="24"/>
        </w:rPr>
        <w:t>.</w:t>
      </w:r>
      <w:r w:rsidR="005A7A23">
        <w:rPr>
          <w:sz w:val="24"/>
          <w:szCs w:val="24"/>
        </w:rPr>
        <w:t>’</w:t>
      </w:r>
      <w:r w:rsidR="001D39E7" w:rsidRPr="001D39E7">
        <w:rPr>
          <w:sz w:val="24"/>
          <w:szCs w:val="24"/>
        </w:rPr>
        <w:t xml:space="preserve">   Unfortunately, there is a lack of research available to show </w:t>
      </w:r>
      <w:r w:rsidR="001D39E7" w:rsidRPr="001D39E7">
        <w:rPr>
          <w:sz w:val="24"/>
          <w:szCs w:val="24"/>
        </w:rPr>
        <w:lastRenderedPageBreak/>
        <w:t xml:space="preserve">how the Consensus Conference was structured to fit a French context, or how citizens engaged with the evidence. </w:t>
      </w:r>
    </w:p>
    <w:p w:rsidR="001D39E7" w:rsidRPr="001D39E7" w:rsidRDefault="001D39E7" w:rsidP="001D39E7">
      <w:pPr>
        <w:jc w:val="both"/>
        <w:rPr>
          <w:sz w:val="24"/>
          <w:szCs w:val="24"/>
        </w:rPr>
      </w:pPr>
      <w:r w:rsidRPr="001D39E7">
        <w:rPr>
          <w:sz w:val="24"/>
          <w:szCs w:val="24"/>
        </w:rPr>
        <w:t xml:space="preserve">There were two Citizens’ Jurys held in France, one held in Poitou-Charentes in 2008 and one in Calais 2011, and lasted 4 and 5 days respectively. The Poitou-Charentes Citizens’ Jury used a specialised recruitment company to select residents based on sociodemographic characteristics, whilst the Citizens’ Jury in Calais drew lots from the electoral roll.  Both Citizens’ Jurys used a mix of facilitated sessions and presentations to convey and discuss the evidence. It is not clear from the Poitou-Charentes Citizen Jury how it influenced the citizens’ engagement with evidence. However, with the Citizens’ Jury in Calais, there was criticism of how </w:t>
      </w:r>
      <w:r w:rsidR="005A7A23">
        <w:rPr>
          <w:sz w:val="24"/>
          <w:szCs w:val="24"/>
        </w:rPr>
        <w:t>participants</w:t>
      </w:r>
      <w:r w:rsidRPr="001D39E7">
        <w:rPr>
          <w:sz w:val="24"/>
          <w:szCs w:val="24"/>
        </w:rPr>
        <w:t xml:space="preserve"> were engaged, and the influence the evidence had on them. Reve</w:t>
      </w:r>
      <w:r w:rsidR="005A7A23">
        <w:rPr>
          <w:sz w:val="24"/>
          <w:szCs w:val="24"/>
        </w:rPr>
        <w:t>l (2012:</w:t>
      </w:r>
      <w:r w:rsidRPr="001D39E7">
        <w:rPr>
          <w:sz w:val="24"/>
          <w:szCs w:val="24"/>
        </w:rPr>
        <w:t xml:space="preserve"> 181) states that the report produced at</w:t>
      </w:r>
      <w:r w:rsidR="005A7A23">
        <w:rPr>
          <w:sz w:val="24"/>
          <w:szCs w:val="24"/>
        </w:rPr>
        <w:t xml:space="preserve"> the end of the Citizens’ Jury ‘did not produce major changes</w:t>
      </w:r>
      <w:r w:rsidRPr="001D39E7">
        <w:rPr>
          <w:sz w:val="24"/>
          <w:szCs w:val="24"/>
        </w:rPr>
        <w:t>.</w:t>
      </w:r>
      <w:r w:rsidR="005A7A23">
        <w:rPr>
          <w:sz w:val="24"/>
          <w:szCs w:val="24"/>
        </w:rPr>
        <w:t>’</w:t>
      </w:r>
      <w:r w:rsidRPr="001D39E7">
        <w:rPr>
          <w:sz w:val="24"/>
          <w:szCs w:val="24"/>
        </w:rPr>
        <w:t xml:space="preserve"> One year later, a meeting was organised to feed back to citizens on the changes implemented based on their advice. At this meeting, Revel (201</w:t>
      </w:r>
      <w:r w:rsidR="005A7A23">
        <w:rPr>
          <w:sz w:val="24"/>
          <w:szCs w:val="24"/>
        </w:rPr>
        <w:t>2) says ‘</w:t>
      </w:r>
      <w:r w:rsidRPr="001D39E7">
        <w:rPr>
          <w:sz w:val="24"/>
          <w:szCs w:val="24"/>
        </w:rPr>
        <w:t>there was poor content as to the m</w:t>
      </w:r>
      <w:r w:rsidR="005A7A23">
        <w:rPr>
          <w:sz w:val="24"/>
          <w:szCs w:val="24"/>
        </w:rPr>
        <w:t>ain suggestion made by citizens</w:t>
      </w:r>
      <w:r w:rsidRPr="001D39E7">
        <w:rPr>
          <w:sz w:val="24"/>
          <w:szCs w:val="24"/>
        </w:rPr>
        <w:t>.</w:t>
      </w:r>
      <w:r w:rsidR="005A7A23">
        <w:rPr>
          <w:sz w:val="24"/>
          <w:szCs w:val="24"/>
        </w:rPr>
        <w:t>’</w:t>
      </w:r>
      <w:r w:rsidRPr="001D39E7">
        <w:rPr>
          <w:sz w:val="24"/>
          <w:szCs w:val="24"/>
        </w:rPr>
        <w:t xml:space="preserve"> </w:t>
      </w:r>
    </w:p>
    <w:p w:rsidR="001D39E7" w:rsidRPr="001D39E7" w:rsidRDefault="001D39E7" w:rsidP="001D39E7">
      <w:pPr>
        <w:rPr>
          <w:sz w:val="24"/>
          <w:szCs w:val="24"/>
        </w:rPr>
      </w:pPr>
    </w:p>
    <w:p w:rsidR="001D39E7" w:rsidRPr="005A7A23" w:rsidRDefault="001D39E7" w:rsidP="001D39E7">
      <w:pPr>
        <w:numPr>
          <w:ilvl w:val="0"/>
          <w:numId w:val="12"/>
        </w:numPr>
        <w:rPr>
          <w:b/>
          <w:i/>
          <w:color w:val="0B5484" w:themeColor="accent1" w:themeShade="80"/>
          <w:sz w:val="24"/>
          <w:szCs w:val="24"/>
          <w:lang w:val="it-IT"/>
        </w:rPr>
      </w:pPr>
      <w:r w:rsidRPr="005A7A23">
        <w:rPr>
          <w:b/>
          <w:i/>
          <w:color w:val="0B5484" w:themeColor="accent1" w:themeShade="80"/>
          <w:sz w:val="24"/>
          <w:szCs w:val="24"/>
          <w:lang w:val="it-IT"/>
        </w:rPr>
        <w:t>Are there any trends across the cases in each country that suggest some types of mini-public have had more frequent and extensive impact on social policy and practice than others?</w:t>
      </w:r>
    </w:p>
    <w:p w:rsidR="001D39E7" w:rsidRPr="001D39E7" w:rsidRDefault="001D39E7" w:rsidP="006D0584">
      <w:pPr>
        <w:jc w:val="both"/>
        <w:rPr>
          <w:sz w:val="24"/>
          <w:szCs w:val="24"/>
          <w:lang w:val="it-IT"/>
        </w:rPr>
      </w:pPr>
      <w:r w:rsidRPr="001D39E7">
        <w:rPr>
          <w:sz w:val="24"/>
          <w:szCs w:val="24"/>
          <w:lang w:val="it-IT"/>
        </w:rPr>
        <w:t xml:space="preserve">As there is limited data on the mini-publics in France it is not possible to establish which have had the most frequent or extensive impact on social policy or practice. However, there are interesting findings from the case studies which have been analysed. </w:t>
      </w:r>
    </w:p>
    <w:p w:rsidR="001D39E7" w:rsidRPr="001D39E7" w:rsidRDefault="001D39E7" w:rsidP="006D0584">
      <w:pPr>
        <w:jc w:val="both"/>
        <w:rPr>
          <w:sz w:val="24"/>
          <w:szCs w:val="24"/>
        </w:rPr>
      </w:pPr>
      <w:r w:rsidRPr="001D39E7">
        <w:rPr>
          <w:sz w:val="24"/>
          <w:szCs w:val="24"/>
        </w:rPr>
        <w:t xml:space="preserve">The Citizens’ Jury in Poitou-Charentes </w:t>
      </w:r>
      <w:r w:rsidR="00E56BB7">
        <w:rPr>
          <w:sz w:val="24"/>
          <w:szCs w:val="24"/>
        </w:rPr>
        <w:t xml:space="preserve">(case no. 24) </w:t>
      </w:r>
      <w:r w:rsidRPr="001D39E7">
        <w:rPr>
          <w:sz w:val="24"/>
          <w:szCs w:val="24"/>
        </w:rPr>
        <w:t>was an importa</w:t>
      </w:r>
      <w:r w:rsidR="005A7A23">
        <w:rPr>
          <w:sz w:val="24"/>
          <w:szCs w:val="24"/>
        </w:rPr>
        <w:t>nt test case in the use of mini-</w:t>
      </w:r>
      <w:r w:rsidRPr="001D39E7">
        <w:rPr>
          <w:sz w:val="24"/>
          <w:szCs w:val="24"/>
        </w:rPr>
        <w:t>publics. Following the Citizens’ Jury, the Poitou-Charentes region launched the European Network for Participatory Democracy (Fletcher 2017).  However, there was strong criticism of the Citizens’ Jury held in Calais. Revel (2012) argues that there was little content on how the citizens</w:t>
      </w:r>
      <w:r w:rsidR="006D0584">
        <w:rPr>
          <w:sz w:val="24"/>
          <w:szCs w:val="24"/>
        </w:rPr>
        <w:t>’</w:t>
      </w:r>
      <w:r w:rsidRPr="001D39E7">
        <w:rPr>
          <w:sz w:val="24"/>
          <w:szCs w:val="24"/>
        </w:rPr>
        <w:t xml:space="preserve"> feedback had been used to affect change and concluded that </w:t>
      </w:r>
      <w:r w:rsidR="006D0584">
        <w:rPr>
          <w:sz w:val="24"/>
          <w:szCs w:val="24"/>
        </w:rPr>
        <w:t>‘t</w:t>
      </w:r>
      <w:r w:rsidRPr="001D39E7">
        <w:rPr>
          <w:sz w:val="24"/>
          <w:szCs w:val="24"/>
        </w:rPr>
        <w:t>he question remains of the purpose of such participatory devices which seem to be seen by politicians as a way of legitimizing their position inside the political arena more than a real attempt to integrate citizen views</w:t>
      </w:r>
      <w:r w:rsidR="006D0584">
        <w:rPr>
          <w:sz w:val="24"/>
          <w:szCs w:val="24"/>
        </w:rPr>
        <w:t>.’</w:t>
      </w:r>
      <w:r w:rsidRPr="001D39E7">
        <w:rPr>
          <w:sz w:val="24"/>
          <w:szCs w:val="24"/>
        </w:rPr>
        <w:t xml:space="preserve"> This damning critique may stem from how the Calais Citizens Jury was set up, with the main question </w:t>
      </w:r>
      <w:r w:rsidR="006D0584">
        <w:rPr>
          <w:sz w:val="24"/>
          <w:szCs w:val="24"/>
        </w:rPr>
        <w:t>of t</w:t>
      </w:r>
      <w:r w:rsidR="005A7A23">
        <w:rPr>
          <w:sz w:val="24"/>
          <w:szCs w:val="24"/>
        </w:rPr>
        <w:t>he mini-</w:t>
      </w:r>
      <w:r w:rsidR="006D0584">
        <w:rPr>
          <w:sz w:val="24"/>
          <w:szCs w:val="24"/>
        </w:rPr>
        <w:t>public regarded as ‘quite general and vague’</w:t>
      </w:r>
      <w:r w:rsidRPr="001D39E7">
        <w:rPr>
          <w:sz w:val="24"/>
          <w:szCs w:val="24"/>
        </w:rPr>
        <w:t xml:space="preserve"> (Revel 2012</w:t>
      </w:r>
      <w:r w:rsidR="006D0584">
        <w:rPr>
          <w:sz w:val="24"/>
          <w:szCs w:val="24"/>
        </w:rPr>
        <w:t>: 180</w:t>
      </w:r>
      <w:r w:rsidRPr="001D39E7">
        <w:rPr>
          <w:sz w:val="24"/>
          <w:szCs w:val="24"/>
        </w:rPr>
        <w:t>-181).</w:t>
      </w:r>
    </w:p>
    <w:p w:rsidR="001D39E7" w:rsidRDefault="001D39E7" w:rsidP="006D0584">
      <w:pPr>
        <w:jc w:val="both"/>
        <w:rPr>
          <w:sz w:val="24"/>
          <w:szCs w:val="24"/>
        </w:rPr>
      </w:pPr>
      <w:r w:rsidRPr="001D39E7">
        <w:rPr>
          <w:sz w:val="24"/>
          <w:szCs w:val="24"/>
        </w:rPr>
        <w:t xml:space="preserve">The only Consensus Conference </w:t>
      </w:r>
      <w:r w:rsidR="006D0584">
        <w:rPr>
          <w:sz w:val="24"/>
          <w:szCs w:val="24"/>
        </w:rPr>
        <w:t>that we found</w:t>
      </w:r>
      <w:r w:rsidR="005A7A23">
        <w:rPr>
          <w:sz w:val="24"/>
          <w:szCs w:val="24"/>
        </w:rPr>
        <w:t>,</w:t>
      </w:r>
      <w:r w:rsidR="006D0584">
        <w:rPr>
          <w:sz w:val="24"/>
          <w:szCs w:val="24"/>
        </w:rPr>
        <w:t xml:space="preserve"> </w:t>
      </w:r>
      <w:r w:rsidRPr="001D39E7">
        <w:rPr>
          <w:sz w:val="24"/>
          <w:szCs w:val="24"/>
        </w:rPr>
        <w:t>which has been studied to show the impact on policy and practice</w:t>
      </w:r>
      <w:r w:rsidR="005A7A23">
        <w:rPr>
          <w:sz w:val="24"/>
          <w:szCs w:val="24"/>
        </w:rPr>
        <w:t>,</w:t>
      </w:r>
      <w:r w:rsidRPr="001D39E7">
        <w:rPr>
          <w:sz w:val="24"/>
          <w:szCs w:val="24"/>
        </w:rPr>
        <w:t xml:space="preserve"> is the Consensus Conference on GMOs</w:t>
      </w:r>
      <w:r w:rsidR="00E56BB7">
        <w:rPr>
          <w:sz w:val="24"/>
          <w:szCs w:val="24"/>
        </w:rPr>
        <w:t xml:space="preserve"> (case no. 25)</w:t>
      </w:r>
      <w:r w:rsidRPr="001D39E7">
        <w:rPr>
          <w:sz w:val="24"/>
          <w:szCs w:val="24"/>
        </w:rPr>
        <w:t xml:space="preserve">. This Consensus Conference, </w:t>
      </w:r>
      <w:r w:rsidR="005A7A23">
        <w:rPr>
          <w:sz w:val="24"/>
          <w:szCs w:val="24"/>
        </w:rPr>
        <w:t>researched</w:t>
      </w:r>
      <w:r w:rsidRPr="001D39E7">
        <w:rPr>
          <w:sz w:val="24"/>
          <w:szCs w:val="24"/>
        </w:rPr>
        <w:t xml:space="preserve"> by </w:t>
      </w:r>
      <w:proofErr w:type="spellStart"/>
      <w:r w:rsidRPr="001D39E7">
        <w:rPr>
          <w:sz w:val="24"/>
          <w:szCs w:val="24"/>
        </w:rPr>
        <w:t>Neilsen</w:t>
      </w:r>
      <w:proofErr w:type="spellEnd"/>
      <w:r w:rsidRPr="001D39E7">
        <w:rPr>
          <w:sz w:val="24"/>
          <w:szCs w:val="24"/>
        </w:rPr>
        <w:t xml:space="preserve"> et al</w:t>
      </w:r>
      <w:r w:rsidR="005A7A23">
        <w:rPr>
          <w:sz w:val="24"/>
          <w:szCs w:val="24"/>
        </w:rPr>
        <w:t>.</w:t>
      </w:r>
      <w:r w:rsidRPr="001D39E7">
        <w:rPr>
          <w:sz w:val="24"/>
          <w:szCs w:val="24"/>
        </w:rPr>
        <w:t xml:space="preserve"> (2007</w:t>
      </w:r>
      <w:r w:rsidR="006D0584">
        <w:rPr>
          <w:sz w:val="24"/>
          <w:szCs w:val="24"/>
        </w:rPr>
        <w:t xml:space="preserve">: </w:t>
      </w:r>
      <w:r w:rsidRPr="001D39E7">
        <w:rPr>
          <w:sz w:val="24"/>
          <w:szCs w:val="24"/>
        </w:rPr>
        <w:t xml:space="preserve">25), </w:t>
      </w:r>
      <w:r w:rsidR="005A7A23">
        <w:rPr>
          <w:sz w:val="24"/>
          <w:szCs w:val="24"/>
        </w:rPr>
        <w:t>was</w:t>
      </w:r>
      <w:r w:rsidRPr="001D39E7">
        <w:rPr>
          <w:sz w:val="24"/>
          <w:szCs w:val="24"/>
        </w:rPr>
        <w:t xml:space="preserve"> the first Consensus Conf</w:t>
      </w:r>
      <w:r w:rsidR="006D0584">
        <w:rPr>
          <w:sz w:val="24"/>
          <w:szCs w:val="24"/>
        </w:rPr>
        <w:t>erence</w:t>
      </w:r>
      <w:r w:rsidR="005A7A23">
        <w:rPr>
          <w:sz w:val="24"/>
          <w:szCs w:val="24"/>
        </w:rPr>
        <w:t xml:space="preserve"> to be organised in France and</w:t>
      </w:r>
      <w:r w:rsidR="006D0584">
        <w:rPr>
          <w:sz w:val="24"/>
          <w:szCs w:val="24"/>
        </w:rPr>
        <w:t xml:space="preserve"> ‘</w:t>
      </w:r>
      <w:r w:rsidRPr="001D39E7">
        <w:rPr>
          <w:sz w:val="24"/>
          <w:szCs w:val="24"/>
        </w:rPr>
        <w:t>turned out to have quite a significant effect on the ways in which the conf</w:t>
      </w:r>
      <w:r w:rsidR="006D0584">
        <w:rPr>
          <w:sz w:val="24"/>
          <w:szCs w:val="24"/>
        </w:rPr>
        <w:t>erences were conceptualized.’</w:t>
      </w:r>
      <w:r w:rsidRPr="001D39E7">
        <w:rPr>
          <w:sz w:val="24"/>
          <w:szCs w:val="24"/>
        </w:rPr>
        <w:t xml:space="preserve">  </w:t>
      </w:r>
      <w:proofErr w:type="spellStart"/>
      <w:r w:rsidRPr="001D39E7">
        <w:rPr>
          <w:sz w:val="24"/>
          <w:szCs w:val="24"/>
        </w:rPr>
        <w:t>Neilsen</w:t>
      </w:r>
      <w:proofErr w:type="spellEnd"/>
      <w:r w:rsidRPr="001D39E7">
        <w:rPr>
          <w:sz w:val="24"/>
          <w:szCs w:val="24"/>
        </w:rPr>
        <w:t xml:space="preserve"> et al</w:t>
      </w:r>
      <w:r w:rsidR="005A7A23">
        <w:rPr>
          <w:sz w:val="24"/>
          <w:szCs w:val="24"/>
        </w:rPr>
        <w:t>. (2007: 25)</w:t>
      </w:r>
      <w:r w:rsidRPr="001D39E7">
        <w:rPr>
          <w:sz w:val="24"/>
          <w:szCs w:val="24"/>
        </w:rPr>
        <w:t xml:space="preserve"> argue that consultation with the public is oft</w:t>
      </w:r>
      <w:r w:rsidR="005A7A23">
        <w:rPr>
          <w:sz w:val="24"/>
          <w:szCs w:val="24"/>
        </w:rPr>
        <w:t>en dismissed in France as it is seen to ‘</w:t>
      </w:r>
      <w:r w:rsidRPr="001D39E7">
        <w:rPr>
          <w:sz w:val="24"/>
          <w:szCs w:val="24"/>
        </w:rPr>
        <w:t>interfere with the legitimacy and political equality associated</w:t>
      </w:r>
      <w:r w:rsidR="005A7A23">
        <w:rPr>
          <w:sz w:val="24"/>
          <w:szCs w:val="24"/>
        </w:rPr>
        <w:t xml:space="preserve"> with representative democracy.’</w:t>
      </w:r>
      <w:r w:rsidRPr="001D39E7">
        <w:rPr>
          <w:sz w:val="24"/>
          <w:szCs w:val="24"/>
        </w:rPr>
        <w:t xml:space="preserve"> </w:t>
      </w:r>
      <w:r w:rsidR="005A7A23">
        <w:rPr>
          <w:sz w:val="24"/>
          <w:szCs w:val="24"/>
        </w:rPr>
        <w:t>E</w:t>
      </w:r>
      <w:r w:rsidRPr="001D39E7">
        <w:rPr>
          <w:sz w:val="24"/>
          <w:szCs w:val="24"/>
        </w:rPr>
        <w:t xml:space="preserve">ven the organisation </w:t>
      </w:r>
      <w:r w:rsidR="005A7A23">
        <w:rPr>
          <w:sz w:val="24"/>
          <w:szCs w:val="24"/>
        </w:rPr>
        <w:t>sponsoring</w:t>
      </w:r>
      <w:r w:rsidRPr="001D39E7">
        <w:rPr>
          <w:sz w:val="24"/>
          <w:szCs w:val="24"/>
        </w:rPr>
        <w:t xml:space="preserve"> the Consensus Conference on GMOs, the Parliamentary Office for the Evaluation of Scientific and Technological Choices (OPECST), </w:t>
      </w:r>
      <w:r w:rsidR="005A7A23">
        <w:rPr>
          <w:sz w:val="24"/>
          <w:szCs w:val="24"/>
        </w:rPr>
        <w:t>were critical of the model. O</w:t>
      </w:r>
      <w:r w:rsidRPr="001D39E7">
        <w:rPr>
          <w:sz w:val="24"/>
          <w:szCs w:val="24"/>
        </w:rPr>
        <w:t>ne of the organising civil servants describ</w:t>
      </w:r>
      <w:r w:rsidR="00665371">
        <w:rPr>
          <w:sz w:val="24"/>
          <w:szCs w:val="24"/>
        </w:rPr>
        <w:t>ed</w:t>
      </w:r>
      <w:r w:rsidRPr="001D39E7">
        <w:rPr>
          <w:sz w:val="24"/>
          <w:szCs w:val="24"/>
        </w:rPr>
        <w:t xml:space="preserve"> the atmosphere surr</w:t>
      </w:r>
      <w:r w:rsidR="00665371">
        <w:rPr>
          <w:sz w:val="24"/>
          <w:szCs w:val="24"/>
        </w:rPr>
        <w:t>ounding the Consensus Conference:</w:t>
      </w:r>
      <w:r w:rsidR="006D0584">
        <w:rPr>
          <w:sz w:val="24"/>
          <w:szCs w:val="24"/>
        </w:rPr>
        <w:t xml:space="preserve"> ‘</w:t>
      </w:r>
      <w:r w:rsidRPr="001D39E7">
        <w:rPr>
          <w:sz w:val="24"/>
          <w:szCs w:val="24"/>
        </w:rPr>
        <w:t>the senators and the parliamentarians said ‘‘but there’s really no need to organize a citizens’ conference, because we are the ones representing the citizens. Why this madness? Why would you want to organize in the midst of the assemblies a procedure which contradicts the essence</w:t>
      </w:r>
      <w:r w:rsidR="006D0584">
        <w:rPr>
          <w:sz w:val="24"/>
          <w:szCs w:val="24"/>
        </w:rPr>
        <w:t xml:space="preserve"> of representative democracy?’’’ Another civil servant said, ‘i</w:t>
      </w:r>
      <w:r w:rsidRPr="001D39E7">
        <w:rPr>
          <w:sz w:val="24"/>
          <w:szCs w:val="24"/>
        </w:rPr>
        <w:t>n France, any kind of citizen intervention is looked upon as a pervasion of representative de</w:t>
      </w:r>
      <w:r w:rsidR="00665371">
        <w:rPr>
          <w:sz w:val="24"/>
          <w:szCs w:val="24"/>
        </w:rPr>
        <w:t>mocracy. And especially within p</w:t>
      </w:r>
      <w:r w:rsidRPr="001D39E7">
        <w:rPr>
          <w:sz w:val="24"/>
          <w:szCs w:val="24"/>
        </w:rPr>
        <w:t xml:space="preserve">arliament, where they don’t really have much power left now with everything being decided in Brussels, or in the government, or in in the trade organisations. So they are already left with next to nothing if you </w:t>
      </w:r>
      <w:r w:rsidRPr="001D39E7">
        <w:rPr>
          <w:sz w:val="24"/>
          <w:szCs w:val="24"/>
        </w:rPr>
        <w:lastRenderedPageBreak/>
        <w:t>take away from their roles as representatives of the people</w:t>
      </w:r>
      <w:r w:rsidR="006D0584">
        <w:rPr>
          <w:sz w:val="24"/>
          <w:szCs w:val="24"/>
        </w:rPr>
        <w:t>’</w:t>
      </w:r>
      <w:r w:rsidRPr="001D39E7">
        <w:rPr>
          <w:sz w:val="24"/>
          <w:szCs w:val="24"/>
        </w:rPr>
        <w:t xml:space="preserve"> (</w:t>
      </w:r>
      <w:proofErr w:type="spellStart"/>
      <w:r w:rsidRPr="001D39E7">
        <w:rPr>
          <w:sz w:val="24"/>
          <w:szCs w:val="24"/>
        </w:rPr>
        <w:t>Neilsen</w:t>
      </w:r>
      <w:proofErr w:type="spellEnd"/>
      <w:r w:rsidRPr="001D39E7">
        <w:rPr>
          <w:sz w:val="24"/>
          <w:szCs w:val="24"/>
        </w:rPr>
        <w:t xml:space="preserve"> et al. 2007</w:t>
      </w:r>
      <w:r w:rsidR="006D0584">
        <w:rPr>
          <w:sz w:val="24"/>
          <w:szCs w:val="24"/>
        </w:rPr>
        <w:t xml:space="preserve">: </w:t>
      </w:r>
      <w:r w:rsidRPr="001D39E7">
        <w:rPr>
          <w:sz w:val="24"/>
          <w:szCs w:val="24"/>
        </w:rPr>
        <w:t>27). This shows that not only civil servants, but also elected politicians were sceptical about the process. Unfortunately, there is no research to show whether this Consensus Conferenced helped to influence p</w:t>
      </w:r>
      <w:r w:rsidR="006D0584">
        <w:rPr>
          <w:sz w:val="24"/>
          <w:szCs w:val="24"/>
        </w:rPr>
        <w:t>olitical opinion about the mini-</w:t>
      </w:r>
      <w:r w:rsidRPr="001D39E7">
        <w:rPr>
          <w:sz w:val="24"/>
          <w:szCs w:val="24"/>
        </w:rPr>
        <w:t>public, or if and how the Consensus Conference influenced the policy and practice surrounding GMOs.</w:t>
      </w:r>
    </w:p>
    <w:p w:rsidR="00665371" w:rsidRPr="001D39E7" w:rsidRDefault="00665371" w:rsidP="006D0584">
      <w:pPr>
        <w:jc w:val="both"/>
        <w:rPr>
          <w:sz w:val="24"/>
          <w:szCs w:val="24"/>
        </w:rPr>
      </w:pPr>
    </w:p>
    <w:p w:rsidR="001D39E7" w:rsidRPr="00665371" w:rsidRDefault="001D39E7" w:rsidP="001D39E7">
      <w:pPr>
        <w:numPr>
          <w:ilvl w:val="0"/>
          <w:numId w:val="12"/>
        </w:numPr>
        <w:rPr>
          <w:b/>
          <w:i/>
          <w:color w:val="0B5484" w:themeColor="accent1" w:themeShade="80"/>
          <w:sz w:val="24"/>
          <w:szCs w:val="24"/>
          <w:lang w:val="it-IT"/>
        </w:rPr>
      </w:pPr>
      <w:r w:rsidRPr="00665371">
        <w:rPr>
          <w:b/>
          <w:i/>
          <w:color w:val="0B5484" w:themeColor="accent1" w:themeShade="80"/>
          <w:sz w:val="24"/>
          <w:szCs w:val="24"/>
        </w:rPr>
        <w:t xml:space="preserve">Are there any trends across the cases in each country that suggest some </w:t>
      </w:r>
      <w:r w:rsidRPr="00665371">
        <w:rPr>
          <w:b/>
          <w:i/>
          <w:color w:val="0B5484" w:themeColor="accent1" w:themeShade="80"/>
          <w:sz w:val="24"/>
          <w:szCs w:val="24"/>
          <w:lang w:val="it-IT"/>
        </w:rPr>
        <w:t>types of expert, methods of expert recruitment, and the methods of presentation of evidence influences citizens’ engagement with evidence in mini-publics?</w:t>
      </w:r>
    </w:p>
    <w:p w:rsidR="001D39E7" w:rsidRDefault="001D39E7" w:rsidP="00207268">
      <w:pPr>
        <w:jc w:val="both"/>
        <w:rPr>
          <w:sz w:val="24"/>
          <w:szCs w:val="24"/>
          <w:lang w:val="it-IT"/>
        </w:rPr>
      </w:pPr>
      <w:r w:rsidRPr="001D39E7">
        <w:rPr>
          <w:sz w:val="24"/>
          <w:szCs w:val="24"/>
          <w:lang w:val="it-IT"/>
        </w:rPr>
        <w:t xml:space="preserve">For all the mini-publics held in France - both the Citizens’ Jurys and the Consensus Conferences - it is not clear how experts were recuited, how many witness sessions were held, or how the evidence was presented, beyond knowing that there were presentations and facilitated discussions. As a result, it is not possible to say how the experts influence citizens’ engagement with evidence. </w:t>
      </w:r>
    </w:p>
    <w:p w:rsidR="001E2C29" w:rsidRPr="001D39E7" w:rsidRDefault="001E2C29" w:rsidP="00207268">
      <w:pPr>
        <w:jc w:val="both"/>
        <w:rPr>
          <w:sz w:val="24"/>
          <w:szCs w:val="24"/>
          <w:lang w:val="it-IT"/>
        </w:rPr>
      </w:pPr>
    </w:p>
    <w:p w:rsidR="001E2C29" w:rsidRDefault="001E2C29" w:rsidP="001E2C29">
      <w:pPr>
        <w:jc w:val="both"/>
        <w:rPr>
          <w:b/>
          <w:color w:val="0B5484" w:themeColor="accent1" w:themeShade="80"/>
          <w:sz w:val="24"/>
          <w:szCs w:val="24"/>
        </w:rPr>
      </w:pPr>
      <w:r w:rsidRPr="00C82A8C">
        <w:rPr>
          <w:b/>
          <w:bCs/>
          <w:color w:val="0B5484" w:themeColor="accent1" w:themeShade="80"/>
          <w:sz w:val="24"/>
          <w:szCs w:val="24"/>
        </w:rPr>
        <w:t xml:space="preserve">Table </w:t>
      </w:r>
      <w:r>
        <w:rPr>
          <w:b/>
          <w:bCs/>
          <w:color w:val="0B5484" w:themeColor="accent1" w:themeShade="80"/>
          <w:sz w:val="24"/>
          <w:szCs w:val="24"/>
        </w:rPr>
        <w:t>10: France: Witnesses and Evidence in</w:t>
      </w:r>
      <w:r>
        <w:rPr>
          <w:b/>
          <w:color w:val="0B5484" w:themeColor="accent1" w:themeShade="80"/>
          <w:sz w:val="24"/>
          <w:szCs w:val="24"/>
        </w:rPr>
        <w:t xml:space="preserve"> Mini-Public </w:t>
      </w:r>
      <w:r w:rsidRPr="00C82A8C">
        <w:rPr>
          <w:b/>
          <w:color w:val="0B5484" w:themeColor="accent1" w:themeShade="80"/>
          <w:sz w:val="24"/>
          <w:szCs w:val="24"/>
        </w:rPr>
        <w:t>Cases</w:t>
      </w:r>
    </w:p>
    <w:tbl>
      <w:tblPr>
        <w:tblStyle w:val="TableGrid"/>
        <w:tblW w:w="11199" w:type="dxa"/>
        <w:tblInd w:w="-998" w:type="dxa"/>
        <w:tblLook w:val="04A0" w:firstRow="1" w:lastRow="0" w:firstColumn="1" w:lastColumn="0" w:noHBand="0" w:noVBand="1"/>
      </w:tblPr>
      <w:tblGrid>
        <w:gridCol w:w="567"/>
        <w:gridCol w:w="3134"/>
        <w:gridCol w:w="1120"/>
        <w:gridCol w:w="1616"/>
        <w:gridCol w:w="1308"/>
        <w:gridCol w:w="1104"/>
        <w:gridCol w:w="2350"/>
      </w:tblGrid>
      <w:tr w:rsidR="00181C2E" w:rsidTr="00DE2792">
        <w:tc>
          <w:tcPr>
            <w:tcW w:w="567" w:type="dxa"/>
          </w:tcPr>
          <w:p w:rsidR="00181C2E" w:rsidRPr="00C4576A" w:rsidRDefault="00181C2E" w:rsidP="00DE2792">
            <w:pPr>
              <w:rPr>
                <w:rFonts w:cstheme="minorHAnsi"/>
                <w:b/>
                <w:i/>
                <w:color w:val="0B5484" w:themeColor="accent1" w:themeShade="80"/>
                <w:sz w:val="20"/>
                <w:szCs w:val="20"/>
              </w:rPr>
            </w:pPr>
            <w:r w:rsidRPr="00C4576A">
              <w:rPr>
                <w:rFonts w:cstheme="minorHAnsi"/>
                <w:b/>
                <w:i/>
                <w:color w:val="0B5484" w:themeColor="accent1" w:themeShade="80"/>
                <w:sz w:val="20"/>
                <w:szCs w:val="20"/>
              </w:rPr>
              <w:t>No.</w:t>
            </w:r>
          </w:p>
        </w:tc>
        <w:tc>
          <w:tcPr>
            <w:tcW w:w="3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81C2E" w:rsidRPr="00C4576A" w:rsidRDefault="00181C2E" w:rsidP="00DE2792">
            <w:pPr>
              <w:rPr>
                <w:rFonts w:cstheme="minorHAnsi"/>
                <w:b/>
                <w:bCs/>
                <w:i/>
                <w:color w:val="0B5484" w:themeColor="accent1" w:themeShade="80"/>
                <w:sz w:val="20"/>
                <w:szCs w:val="20"/>
              </w:rPr>
            </w:pPr>
            <w:r w:rsidRPr="00C4576A">
              <w:rPr>
                <w:rFonts w:cstheme="minorHAnsi"/>
                <w:b/>
                <w:bCs/>
                <w:i/>
                <w:color w:val="0B5484" w:themeColor="accent1" w:themeShade="80"/>
                <w:sz w:val="20"/>
                <w:szCs w:val="20"/>
              </w:rPr>
              <w:t>Activities</w:t>
            </w:r>
          </w:p>
        </w:tc>
        <w:tc>
          <w:tcPr>
            <w:tcW w:w="1120" w:type="dxa"/>
            <w:tcBorders>
              <w:top w:val="single" w:sz="4" w:space="0" w:color="auto"/>
              <w:left w:val="nil"/>
              <w:bottom w:val="single" w:sz="4" w:space="0" w:color="auto"/>
              <w:right w:val="single" w:sz="4" w:space="0" w:color="auto"/>
            </w:tcBorders>
            <w:shd w:val="clear" w:color="auto" w:fill="FFFFFF" w:themeFill="background1"/>
            <w:vAlign w:val="center"/>
          </w:tcPr>
          <w:p w:rsidR="00181C2E" w:rsidRPr="00C4576A" w:rsidRDefault="00181C2E" w:rsidP="00DE2792">
            <w:pPr>
              <w:rPr>
                <w:rFonts w:cstheme="minorHAnsi"/>
                <w:b/>
                <w:bCs/>
                <w:i/>
                <w:color w:val="0B5484" w:themeColor="accent1" w:themeShade="80"/>
                <w:sz w:val="20"/>
                <w:szCs w:val="20"/>
              </w:rPr>
            </w:pPr>
            <w:r w:rsidRPr="00C4576A">
              <w:rPr>
                <w:rFonts w:cstheme="minorHAnsi"/>
                <w:b/>
                <w:bCs/>
                <w:i/>
                <w:color w:val="0B5484" w:themeColor="accent1" w:themeShade="80"/>
                <w:sz w:val="20"/>
                <w:szCs w:val="20"/>
              </w:rPr>
              <w:t xml:space="preserve">No. </w:t>
            </w:r>
          </w:p>
          <w:p w:rsidR="00181C2E" w:rsidRPr="00C4576A" w:rsidRDefault="00181C2E" w:rsidP="00DE2792">
            <w:pPr>
              <w:rPr>
                <w:rFonts w:cstheme="minorHAnsi"/>
                <w:b/>
                <w:bCs/>
                <w:i/>
                <w:color w:val="0B5484" w:themeColor="accent1" w:themeShade="80"/>
                <w:sz w:val="20"/>
                <w:szCs w:val="20"/>
              </w:rPr>
            </w:pPr>
            <w:r w:rsidRPr="00C4576A">
              <w:rPr>
                <w:rFonts w:cstheme="minorHAnsi"/>
                <w:b/>
                <w:bCs/>
                <w:i/>
                <w:color w:val="0B5484" w:themeColor="accent1" w:themeShade="80"/>
                <w:sz w:val="20"/>
                <w:szCs w:val="20"/>
              </w:rPr>
              <w:t>witnesses</w:t>
            </w:r>
          </w:p>
        </w:tc>
        <w:tc>
          <w:tcPr>
            <w:tcW w:w="1616" w:type="dxa"/>
            <w:tcBorders>
              <w:top w:val="single" w:sz="4" w:space="0" w:color="auto"/>
              <w:left w:val="nil"/>
              <w:bottom w:val="single" w:sz="4" w:space="0" w:color="auto"/>
              <w:right w:val="single" w:sz="4" w:space="0" w:color="auto"/>
            </w:tcBorders>
            <w:shd w:val="clear" w:color="auto" w:fill="FFFFFF" w:themeFill="background1"/>
            <w:vAlign w:val="center"/>
          </w:tcPr>
          <w:p w:rsidR="00181C2E" w:rsidRPr="00C4576A" w:rsidRDefault="00181C2E" w:rsidP="00DE2792">
            <w:pPr>
              <w:rPr>
                <w:rFonts w:cstheme="minorHAnsi"/>
                <w:b/>
                <w:bCs/>
                <w:i/>
                <w:color w:val="0B5484" w:themeColor="accent1" w:themeShade="80"/>
                <w:sz w:val="20"/>
                <w:szCs w:val="20"/>
              </w:rPr>
            </w:pPr>
            <w:r w:rsidRPr="00C4576A">
              <w:rPr>
                <w:rFonts w:cstheme="minorHAnsi"/>
                <w:b/>
                <w:bCs/>
                <w:i/>
                <w:color w:val="0B5484" w:themeColor="accent1" w:themeShade="80"/>
                <w:sz w:val="20"/>
                <w:szCs w:val="20"/>
              </w:rPr>
              <w:t>Type of witnesses</w:t>
            </w:r>
          </w:p>
        </w:tc>
        <w:tc>
          <w:tcPr>
            <w:tcW w:w="1308" w:type="dxa"/>
            <w:tcBorders>
              <w:top w:val="single" w:sz="4" w:space="0" w:color="auto"/>
              <w:left w:val="nil"/>
              <w:bottom w:val="single" w:sz="4" w:space="0" w:color="auto"/>
              <w:right w:val="single" w:sz="4" w:space="0" w:color="auto"/>
            </w:tcBorders>
            <w:shd w:val="clear" w:color="auto" w:fill="FFFFFF" w:themeFill="background1"/>
            <w:vAlign w:val="center"/>
          </w:tcPr>
          <w:p w:rsidR="00181C2E" w:rsidRPr="00C4576A" w:rsidRDefault="00181C2E" w:rsidP="00DE2792">
            <w:pPr>
              <w:rPr>
                <w:rFonts w:cstheme="minorHAnsi"/>
                <w:b/>
                <w:bCs/>
                <w:i/>
                <w:color w:val="0B5484" w:themeColor="accent1" w:themeShade="80"/>
                <w:sz w:val="20"/>
                <w:szCs w:val="20"/>
              </w:rPr>
            </w:pPr>
            <w:r w:rsidRPr="00C4576A">
              <w:rPr>
                <w:rFonts w:cstheme="minorHAnsi"/>
                <w:b/>
                <w:bCs/>
                <w:i/>
                <w:color w:val="0B5484" w:themeColor="accent1" w:themeShade="80"/>
                <w:sz w:val="20"/>
                <w:szCs w:val="20"/>
              </w:rPr>
              <w:t>Witness recruitment method</w:t>
            </w:r>
          </w:p>
        </w:tc>
        <w:tc>
          <w:tcPr>
            <w:tcW w:w="1104" w:type="dxa"/>
            <w:tcBorders>
              <w:top w:val="single" w:sz="4" w:space="0" w:color="auto"/>
              <w:left w:val="nil"/>
              <w:bottom w:val="single" w:sz="4" w:space="0" w:color="auto"/>
              <w:right w:val="single" w:sz="4" w:space="0" w:color="auto"/>
            </w:tcBorders>
            <w:shd w:val="clear" w:color="auto" w:fill="FFFFFF" w:themeFill="background1"/>
            <w:vAlign w:val="center"/>
          </w:tcPr>
          <w:p w:rsidR="00181C2E" w:rsidRPr="00C4576A" w:rsidRDefault="00181C2E" w:rsidP="00DE2792">
            <w:pPr>
              <w:rPr>
                <w:rFonts w:cstheme="minorHAnsi"/>
                <w:b/>
                <w:bCs/>
                <w:i/>
                <w:color w:val="0B5484" w:themeColor="accent1" w:themeShade="80"/>
                <w:sz w:val="20"/>
                <w:szCs w:val="20"/>
              </w:rPr>
            </w:pPr>
            <w:r w:rsidRPr="00C4576A">
              <w:rPr>
                <w:rFonts w:cstheme="minorHAnsi"/>
                <w:b/>
                <w:bCs/>
                <w:i/>
                <w:color w:val="0B5484" w:themeColor="accent1" w:themeShade="80"/>
                <w:sz w:val="20"/>
                <w:szCs w:val="20"/>
              </w:rPr>
              <w:t>No. witness sessions</w:t>
            </w:r>
          </w:p>
        </w:tc>
        <w:tc>
          <w:tcPr>
            <w:tcW w:w="2350" w:type="dxa"/>
            <w:tcBorders>
              <w:top w:val="single" w:sz="4" w:space="0" w:color="auto"/>
              <w:left w:val="nil"/>
              <w:bottom w:val="single" w:sz="4" w:space="0" w:color="auto"/>
              <w:right w:val="single" w:sz="4" w:space="0" w:color="auto"/>
            </w:tcBorders>
            <w:shd w:val="clear" w:color="auto" w:fill="FFFFFF" w:themeFill="background1"/>
            <w:vAlign w:val="center"/>
          </w:tcPr>
          <w:p w:rsidR="00181C2E" w:rsidRPr="00C4576A" w:rsidRDefault="00181C2E" w:rsidP="00DE2792">
            <w:pPr>
              <w:rPr>
                <w:rFonts w:cstheme="minorHAnsi"/>
                <w:b/>
                <w:bCs/>
                <w:i/>
                <w:color w:val="0B5484" w:themeColor="accent1" w:themeShade="80"/>
                <w:sz w:val="20"/>
                <w:szCs w:val="20"/>
              </w:rPr>
            </w:pPr>
            <w:r w:rsidRPr="00C4576A">
              <w:rPr>
                <w:rFonts w:cstheme="minorHAnsi"/>
                <w:b/>
                <w:bCs/>
                <w:i/>
                <w:color w:val="0B5484" w:themeColor="accent1" w:themeShade="80"/>
                <w:sz w:val="20"/>
                <w:szCs w:val="20"/>
              </w:rPr>
              <w:t>Format of evidence presentation</w:t>
            </w:r>
          </w:p>
        </w:tc>
      </w:tr>
      <w:tr w:rsidR="00181C2E" w:rsidTr="00DE2792">
        <w:tc>
          <w:tcPr>
            <w:tcW w:w="567" w:type="dxa"/>
            <w:shd w:val="clear" w:color="auto" w:fill="ABD9F8" w:themeFill="accent1" w:themeFillTint="66"/>
            <w:vAlign w:val="center"/>
          </w:tcPr>
          <w:p w:rsidR="00181C2E" w:rsidRPr="008709D2" w:rsidRDefault="00181C2E" w:rsidP="00DE2792">
            <w:pPr>
              <w:rPr>
                <w:rFonts w:cstheme="minorHAnsi"/>
                <w:b/>
                <w:i/>
                <w:sz w:val="20"/>
                <w:szCs w:val="20"/>
              </w:rPr>
            </w:pPr>
            <w:r w:rsidRPr="008709D2">
              <w:rPr>
                <w:rFonts w:cstheme="minorHAnsi"/>
                <w:b/>
                <w:i/>
                <w:sz w:val="20"/>
                <w:szCs w:val="20"/>
              </w:rPr>
              <w:t>24</w:t>
            </w:r>
          </w:p>
        </w:tc>
        <w:tc>
          <w:tcPr>
            <w:tcW w:w="3134" w:type="dxa"/>
            <w:tcBorders>
              <w:top w:val="single" w:sz="4" w:space="0" w:color="auto"/>
              <w:left w:val="single" w:sz="4" w:space="0" w:color="auto"/>
              <w:bottom w:val="single" w:sz="4" w:space="0" w:color="auto"/>
              <w:right w:val="single" w:sz="4" w:space="0" w:color="auto"/>
            </w:tcBorders>
            <w:shd w:val="clear" w:color="auto" w:fill="ABD9F8" w:themeFill="accent1" w:themeFillTint="66"/>
            <w:vAlign w:val="center"/>
          </w:tcPr>
          <w:p w:rsidR="00181C2E" w:rsidRPr="00F3601A" w:rsidRDefault="00181C2E" w:rsidP="00DE2792">
            <w:pPr>
              <w:rPr>
                <w:rFonts w:ascii="Calibri" w:hAnsi="Calibri" w:cs="Calibri"/>
                <w:sz w:val="20"/>
                <w:szCs w:val="20"/>
              </w:rPr>
            </w:pPr>
            <w:r w:rsidRPr="00F3601A">
              <w:rPr>
                <w:rFonts w:ascii="Calibri" w:hAnsi="Calibri" w:cs="Calibri"/>
                <w:sz w:val="20"/>
                <w:szCs w:val="20"/>
              </w:rPr>
              <w:t xml:space="preserve">Facilitated and plenary small group discussion </w:t>
            </w:r>
          </w:p>
        </w:tc>
        <w:tc>
          <w:tcPr>
            <w:tcW w:w="1120" w:type="dxa"/>
            <w:tcBorders>
              <w:top w:val="single" w:sz="4" w:space="0" w:color="auto"/>
              <w:left w:val="nil"/>
              <w:bottom w:val="single" w:sz="4" w:space="0" w:color="auto"/>
              <w:right w:val="single" w:sz="4" w:space="0" w:color="auto"/>
            </w:tcBorders>
            <w:shd w:val="clear" w:color="auto" w:fill="ABD9F8" w:themeFill="accent1" w:themeFillTint="66"/>
            <w:vAlign w:val="center"/>
          </w:tcPr>
          <w:p w:rsidR="00181C2E" w:rsidRPr="00F3601A" w:rsidRDefault="00181C2E" w:rsidP="00DE2792">
            <w:pPr>
              <w:rPr>
                <w:rFonts w:ascii="Calibri" w:hAnsi="Calibri" w:cs="Calibri"/>
                <w:sz w:val="20"/>
                <w:szCs w:val="20"/>
              </w:rPr>
            </w:pPr>
            <w:r w:rsidRPr="00F3601A">
              <w:rPr>
                <w:rFonts w:ascii="Calibri" w:hAnsi="Calibri" w:cs="Calibri"/>
                <w:sz w:val="20"/>
                <w:szCs w:val="20"/>
              </w:rPr>
              <w:t>Don't know</w:t>
            </w:r>
          </w:p>
        </w:tc>
        <w:tc>
          <w:tcPr>
            <w:tcW w:w="1616" w:type="dxa"/>
            <w:tcBorders>
              <w:top w:val="single" w:sz="4" w:space="0" w:color="auto"/>
              <w:left w:val="nil"/>
              <w:bottom w:val="single" w:sz="4" w:space="0" w:color="auto"/>
              <w:right w:val="single" w:sz="4" w:space="0" w:color="auto"/>
            </w:tcBorders>
            <w:shd w:val="clear" w:color="auto" w:fill="ABD9F8" w:themeFill="accent1" w:themeFillTint="66"/>
            <w:vAlign w:val="center"/>
          </w:tcPr>
          <w:p w:rsidR="00181C2E" w:rsidRPr="00F3601A" w:rsidRDefault="00181C2E" w:rsidP="00DE2792">
            <w:pPr>
              <w:rPr>
                <w:rFonts w:ascii="Calibri" w:hAnsi="Calibri" w:cs="Calibri"/>
                <w:sz w:val="20"/>
                <w:szCs w:val="20"/>
              </w:rPr>
            </w:pPr>
            <w:r w:rsidRPr="00F3601A">
              <w:rPr>
                <w:rFonts w:ascii="Calibri" w:hAnsi="Calibri" w:cs="Calibri"/>
                <w:sz w:val="20"/>
                <w:szCs w:val="20"/>
              </w:rPr>
              <w:t>Don't know</w:t>
            </w:r>
          </w:p>
        </w:tc>
        <w:tc>
          <w:tcPr>
            <w:tcW w:w="1308" w:type="dxa"/>
            <w:tcBorders>
              <w:top w:val="single" w:sz="4" w:space="0" w:color="auto"/>
              <w:left w:val="nil"/>
              <w:bottom w:val="single" w:sz="4" w:space="0" w:color="auto"/>
              <w:right w:val="single" w:sz="4" w:space="0" w:color="auto"/>
            </w:tcBorders>
            <w:shd w:val="clear" w:color="auto" w:fill="ABD9F8" w:themeFill="accent1" w:themeFillTint="66"/>
            <w:vAlign w:val="center"/>
          </w:tcPr>
          <w:p w:rsidR="00181C2E" w:rsidRPr="00F3601A" w:rsidRDefault="00181C2E" w:rsidP="00DE2792">
            <w:pPr>
              <w:rPr>
                <w:rFonts w:ascii="Calibri" w:hAnsi="Calibri" w:cs="Calibri"/>
                <w:sz w:val="20"/>
                <w:szCs w:val="20"/>
              </w:rPr>
            </w:pPr>
            <w:r w:rsidRPr="00F3601A">
              <w:rPr>
                <w:rFonts w:ascii="Calibri" w:hAnsi="Calibri" w:cs="Calibri"/>
                <w:sz w:val="20"/>
                <w:szCs w:val="20"/>
              </w:rPr>
              <w:t>Don't know</w:t>
            </w:r>
          </w:p>
        </w:tc>
        <w:tc>
          <w:tcPr>
            <w:tcW w:w="1104" w:type="dxa"/>
            <w:tcBorders>
              <w:top w:val="single" w:sz="4" w:space="0" w:color="auto"/>
              <w:left w:val="nil"/>
              <w:bottom w:val="single" w:sz="4" w:space="0" w:color="auto"/>
              <w:right w:val="single" w:sz="4" w:space="0" w:color="auto"/>
            </w:tcBorders>
            <w:shd w:val="clear" w:color="auto" w:fill="ABD9F8" w:themeFill="accent1" w:themeFillTint="66"/>
            <w:vAlign w:val="center"/>
          </w:tcPr>
          <w:p w:rsidR="00181C2E" w:rsidRPr="00F3601A" w:rsidRDefault="00181C2E" w:rsidP="00DE2792">
            <w:pPr>
              <w:rPr>
                <w:rFonts w:ascii="Calibri" w:hAnsi="Calibri" w:cs="Calibri"/>
                <w:sz w:val="20"/>
                <w:szCs w:val="20"/>
              </w:rPr>
            </w:pPr>
            <w:r w:rsidRPr="00F3601A">
              <w:rPr>
                <w:rFonts w:ascii="Calibri" w:hAnsi="Calibri" w:cs="Calibri"/>
                <w:sz w:val="20"/>
                <w:szCs w:val="20"/>
              </w:rPr>
              <w:t>Don't know</w:t>
            </w:r>
          </w:p>
        </w:tc>
        <w:tc>
          <w:tcPr>
            <w:tcW w:w="2350" w:type="dxa"/>
            <w:tcBorders>
              <w:top w:val="single" w:sz="4" w:space="0" w:color="auto"/>
              <w:left w:val="nil"/>
              <w:bottom w:val="single" w:sz="4" w:space="0" w:color="auto"/>
              <w:right w:val="single" w:sz="4" w:space="0" w:color="auto"/>
            </w:tcBorders>
            <w:shd w:val="clear" w:color="auto" w:fill="ABD9F8" w:themeFill="accent1" w:themeFillTint="66"/>
            <w:vAlign w:val="center"/>
          </w:tcPr>
          <w:p w:rsidR="00181C2E" w:rsidRPr="00F3601A" w:rsidRDefault="00181C2E" w:rsidP="00DE2792">
            <w:pPr>
              <w:rPr>
                <w:rFonts w:ascii="Calibri" w:hAnsi="Calibri" w:cs="Calibri"/>
                <w:sz w:val="20"/>
                <w:szCs w:val="20"/>
              </w:rPr>
            </w:pPr>
            <w:r w:rsidRPr="00F3601A">
              <w:rPr>
                <w:rFonts w:ascii="Calibri" w:hAnsi="Calibri" w:cs="Calibri"/>
                <w:sz w:val="20"/>
                <w:szCs w:val="20"/>
              </w:rPr>
              <w:t xml:space="preserve">Small group discussions and plenary </w:t>
            </w:r>
          </w:p>
        </w:tc>
      </w:tr>
      <w:tr w:rsidR="00181C2E" w:rsidTr="00DE2792">
        <w:tc>
          <w:tcPr>
            <w:tcW w:w="567" w:type="dxa"/>
            <w:vAlign w:val="center"/>
          </w:tcPr>
          <w:p w:rsidR="00181C2E" w:rsidRPr="008709D2" w:rsidRDefault="00181C2E" w:rsidP="00DE2792">
            <w:pPr>
              <w:rPr>
                <w:rFonts w:cstheme="minorHAnsi"/>
                <w:b/>
                <w:i/>
                <w:sz w:val="20"/>
                <w:szCs w:val="20"/>
              </w:rPr>
            </w:pPr>
            <w:r w:rsidRPr="008709D2">
              <w:rPr>
                <w:rFonts w:cstheme="minorHAnsi"/>
                <w:b/>
                <w:i/>
                <w:sz w:val="20"/>
                <w:szCs w:val="20"/>
              </w:rPr>
              <w:t>25</w:t>
            </w:r>
          </w:p>
        </w:tc>
        <w:tc>
          <w:tcPr>
            <w:tcW w:w="3134" w:type="dxa"/>
            <w:tcBorders>
              <w:top w:val="nil"/>
              <w:left w:val="single" w:sz="4" w:space="0" w:color="auto"/>
              <w:bottom w:val="single" w:sz="4" w:space="0" w:color="auto"/>
              <w:right w:val="single" w:sz="4" w:space="0" w:color="auto"/>
            </w:tcBorders>
            <w:shd w:val="clear" w:color="auto" w:fill="auto"/>
            <w:vAlign w:val="center"/>
          </w:tcPr>
          <w:p w:rsidR="00181C2E" w:rsidRPr="00F3601A" w:rsidRDefault="00181C2E" w:rsidP="00DE2792">
            <w:pPr>
              <w:rPr>
                <w:rFonts w:ascii="Calibri" w:hAnsi="Calibri" w:cs="Calibri"/>
                <w:sz w:val="20"/>
                <w:szCs w:val="20"/>
              </w:rPr>
            </w:pPr>
            <w:r w:rsidRPr="00F3601A">
              <w:rPr>
                <w:rFonts w:ascii="Calibri" w:hAnsi="Calibri" w:cs="Calibri"/>
                <w:sz w:val="20"/>
                <w:szCs w:val="20"/>
              </w:rPr>
              <w:t>Don't know</w:t>
            </w:r>
          </w:p>
        </w:tc>
        <w:tc>
          <w:tcPr>
            <w:tcW w:w="1120" w:type="dxa"/>
            <w:tcBorders>
              <w:top w:val="nil"/>
              <w:left w:val="nil"/>
              <w:bottom w:val="single" w:sz="4" w:space="0" w:color="auto"/>
              <w:right w:val="single" w:sz="4" w:space="0" w:color="auto"/>
            </w:tcBorders>
            <w:shd w:val="clear" w:color="auto" w:fill="auto"/>
            <w:vAlign w:val="center"/>
          </w:tcPr>
          <w:p w:rsidR="00181C2E" w:rsidRPr="00F3601A" w:rsidRDefault="00181C2E" w:rsidP="00DE2792">
            <w:pPr>
              <w:rPr>
                <w:rFonts w:ascii="Calibri" w:hAnsi="Calibri" w:cs="Calibri"/>
                <w:sz w:val="20"/>
                <w:szCs w:val="20"/>
              </w:rPr>
            </w:pPr>
            <w:r w:rsidRPr="00F3601A">
              <w:rPr>
                <w:rFonts w:ascii="Calibri" w:hAnsi="Calibri" w:cs="Calibri"/>
                <w:sz w:val="20"/>
                <w:szCs w:val="20"/>
              </w:rPr>
              <w:t>Don't know</w:t>
            </w:r>
          </w:p>
        </w:tc>
        <w:tc>
          <w:tcPr>
            <w:tcW w:w="1616" w:type="dxa"/>
            <w:tcBorders>
              <w:top w:val="nil"/>
              <w:left w:val="nil"/>
              <w:bottom w:val="single" w:sz="4" w:space="0" w:color="auto"/>
              <w:right w:val="single" w:sz="4" w:space="0" w:color="auto"/>
            </w:tcBorders>
            <w:shd w:val="clear" w:color="auto" w:fill="auto"/>
            <w:vAlign w:val="center"/>
          </w:tcPr>
          <w:p w:rsidR="00181C2E" w:rsidRPr="00F3601A" w:rsidRDefault="00181C2E" w:rsidP="00DE2792">
            <w:pPr>
              <w:rPr>
                <w:rFonts w:ascii="Calibri" w:hAnsi="Calibri" w:cs="Calibri"/>
                <w:sz w:val="20"/>
                <w:szCs w:val="20"/>
              </w:rPr>
            </w:pPr>
            <w:r w:rsidRPr="00F3601A">
              <w:rPr>
                <w:rFonts w:ascii="Calibri" w:hAnsi="Calibri" w:cs="Calibri"/>
                <w:sz w:val="20"/>
                <w:szCs w:val="20"/>
              </w:rPr>
              <w:t>Don't know</w:t>
            </w:r>
          </w:p>
        </w:tc>
        <w:tc>
          <w:tcPr>
            <w:tcW w:w="1308" w:type="dxa"/>
            <w:tcBorders>
              <w:top w:val="nil"/>
              <w:left w:val="nil"/>
              <w:bottom w:val="single" w:sz="4" w:space="0" w:color="auto"/>
              <w:right w:val="single" w:sz="4" w:space="0" w:color="auto"/>
            </w:tcBorders>
            <w:shd w:val="clear" w:color="auto" w:fill="auto"/>
            <w:vAlign w:val="center"/>
          </w:tcPr>
          <w:p w:rsidR="00181C2E" w:rsidRPr="00F3601A" w:rsidRDefault="00181C2E" w:rsidP="00DE2792">
            <w:pPr>
              <w:rPr>
                <w:rFonts w:ascii="Calibri" w:hAnsi="Calibri" w:cs="Calibri"/>
                <w:sz w:val="20"/>
                <w:szCs w:val="20"/>
              </w:rPr>
            </w:pPr>
            <w:r w:rsidRPr="00F3601A">
              <w:rPr>
                <w:rFonts w:ascii="Calibri" w:hAnsi="Calibri" w:cs="Calibri"/>
                <w:sz w:val="20"/>
                <w:szCs w:val="20"/>
              </w:rPr>
              <w:t>Don't know</w:t>
            </w:r>
          </w:p>
        </w:tc>
        <w:tc>
          <w:tcPr>
            <w:tcW w:w="1104" w:type="dxa"/>
            <w:tcBorders>
              <w:top w:val="nil"/>
              <w:left w:val="nil"/>
              <w:bottom w:val="single" w:sz="4" w:space="0" w:color="auto"/>
              <w:right w:val="single" w:sz="4" w:space="0" w:color="auto"/>
            </w:tcBorders>
            <w:shd w:val="clear" w:color="auto" w:fill="auto"/>
            <w:vAlign w:val="center"/>
          </w:tcPr>
          <w:p w:rsidR="00181C2E" w:rsidRPr="00F3601A" w:rsidRDefault="00181C2E" w:rsidP="00DE2792">
            <w:pPr>
              <w:rPr>
                <w:rFonts w:ascii="Calibri" w:hAnsi="Calibri" w:cs="Calibri"/>
                <w:sz w:val="20"/>
                <w:szCs w:val="20"/>
              </w:rPr>
            </w:pPr>
            <w:r w:rsidRPr="00F3601A">
              <w:rPr>
                <w:rFonts w:ascii="Calibri" w:hAnsi="Calibri" w:cs="Calibri"/>
                <w:sz w:val="20"/>
                <w:szCs w:val="20"/>
              </w:rPr>
              <w:t>Don't know</w:t>
            </w:r>
          </w:p>
        </w:tc>
        <w:tc>
          <w:tcPr>
            <w:tcW w:w="2350" w:type="dxa"/>
            <w:tcBorders>
              <w:top w:val="nil"/>
              <w:left w:val="nil"/>
              <w:bottom w:val="single" w:sz="4" w:space="0" w:color="auto"/>
              <w:right w:val="single" w:sz="4" w:space="0" w:color="auto"/>
            </w:tcBorders>
            <w:shd w:val="clear" w:color="auto" w:fill="auto"/>
            <w:vAlign w:val="center"/>
          </w:tcPr>
          <w:p w:rsidR="00181C2E" w:rsidRPr="00F3601A" w:rsidRDefault="00181C2E" w:rsidP="00DE2792">
            <w:pPr>
              <w:rPr>
                <w:rFonts w:ascii="Calibri" w:hAnsi="Calibri" w:cs="Calibri"/>
                <w:sz w:val="20"/>
                <w:szCs w:val="20"/>
              </w:rPr>
            </w:pPr>
            <w:r w:rsidRPr="00F3601A">
              <w:rPr>
                <w:rFonts w:ascii="Calibri" w:hAnsi="Calibri" w:cs="Calibri"/>
                <w:sz w:val="20"/>
                <w:szCs w:val="20"/>
              </w:rPr>
              <w:t>Don't know</w:t>
            </w:r>
          </w:p>
        </w:tc>
      </w:tr>
      <w:tr w:rsidR="00181C2E" w:rsidTr="00DE2792">
        <w:tc>
          <w:tcPr>
            <w:tcW w:w="567" w:type="dxa"/>
            <w:shd w:val="clear" w:color="auto" w:fill="ABD9F8" w:themeFill="accent1" w:themeFillTint="66"/>
            <w:vAlign w:val="center"/>
          </w:tcPr>
          <w:p w:rsidR="00181C2E" w:rsidRPr="008709D2" w:rsidRDefault="00181C2E" w:rsidP="00DE2792">
            <w:pPr>
              <w:rPr>
                <w:rFonts w:cstheme="minorHAnsi"/>
                <w:b/>
                <w:i/>
                <w:sz w:val="20"/>
                <w:szCs w:val="20"/>
              </w:rPr>
            </w:pPr>
            <w:r w:rsidRPr="008709D2">
              <w:rPr>
                <w:rFonts w:cstheme="minorHAnsi"/>
                <w:b/>
                <w:i/>
                <w:sz w:val="20"/>
                <w:szCs w:val="20"/>
              </w:rPr>
              <w:t>26</w:t>
            </w:r>
          </w:p>
        </w:tc>
        <w:tc>
          <w:tcPr>
            <w:tcW w:w="3134" w:type="dxa"/>
            <w:tcBorders>
              <w:top w:val="nil"/>
              <w:left w:val="single" w:sz="4" w:space="0" w:color="auto"/>
              <w:bottom w:val="single" w:sz="4" w:space="0" w:color="auto"/>
              <w:right w:val="single" w:sz="4" w:space="0" w:color="auto"/>
            </w:tcBorders>
            <w:shd w:val="clear" w:color="auto" w:fill="ABD9F8" w:themeFill="accent1" w:themeFillTint="66"/>
            <w:vAlign w:val="center"/>
          </w:tcPr>
          <w:p w:rsidR="00181C2E" w:rsidRPr="00F3601A" w:rsidRDefault="00181C2E" w:rsidP="00DE2792">
            <w:pPr>
              <w:rPr>
                <w:rFonts w:ascii="Calibri" w:hAnsi="Calibri" w:cs="Calibri"/>
                <w:sz w:val="20"/>
                <w:szCs w:val="20"/>
              </w:rPr>
            </w:pPr>
            <w:r w:rsidRPr="00F3601A">
              <w:rPr>
                <w:rFonts w:ascii="Calibri" w:hAnsi="Calibri" w:cs="Calibri"/>
                <w:sz w:val="20"/>
                <w:szCs w:val="20"/>
              </w:rPr>
              <w:t>Don't know</w:t>
            </w:r>
          </w:p>
        </w:tc>
        <w:tc>
          <w:tcPr>
            <w:tcW w:w="1120" w:type="dxa"/>
            <w:tcBorders>
              <w:top w:val="nil"/>
              <w:left w:val="nil"/>
              <w:bottom w:val="single" w:sz="4" w:space="0" w:color="auto"/>
              <w:right w:val="single" w:sz="4" w:space="0" w:color="auto"/>
            </w:tcBorders>
            <w:shd w:val="clear" w:color="auto" w:fill="ABD9F8" w:themeFill="accent1" w:themeFillTint="66"/>
            <w:vAlign w:val="center"/>
          </w:tcPr>
          <w:p w:rsidR="00181C2E" w:rsidRPr="00F3601A" w:rsidRDefault="00181C2E" w:rsidP="00DE2792">
            <w:pPr>
              <w:rPr>
                <w:rFonts w:ascii="Calibri" w:hAnsi="Calibri" w:cs="Calibri"/>
                <w:sz w:val="20"/>
                <w:szCs w:val="20"/>
              </w:rPr>
            </w:pPr>
            <w:r w:rsidRPr="00F3601A">
              <w:rPr>
                <w:rFonts w:ascii="Calibri" w:hAnsi="Calibri" w:cs="Calibri"/>
                <w:sz w:val="20"/>
                <w:szCs w:val="20"/>
              </w:rPr>
              <w:t>Don't know</w:t>
            </w:r>
          </w:p>
        </w:tc>
        <w:tc>
          <w:tcPr>
            <w:tcW w:w="1616" w:type="dxa"/>
            <w:tcBorders>
              <w:top w:val="nil"/>
              <w:left w:val="nil"/>
              <w:bottom w:val="single" w:sz="4" w:space="0" w:color="auto"/>
              <w:right w:val="single" w:sz="4" w:space="0" w:color="auto"/>
            </w:tcBorders>
            <w:shd w:val="clear" w:color="auto" w:fill="ABD9F8" w:themeFill="accent1" w:themeFillTint="66"/>
            <w:vAlign w:val="center"/>
          </w:tcPr>
          <w:p w:rsidR="00181C2E" w:rsidRPr="00F3601A" w:rsidRDefault="00181C2E" w:rsidP="00DE2792">
            <w:pPr>
              <w:rPr>
                <w:rFonts w:ascii="Calibri" w:hAnsi="Calibri" w:cs="Calibri"/>
                <w:sz w:val="20"/>
                <w:szCs w:val="20"/>
              </w:rPr>
            </w:pPr>
            <w:r w:rsidRPr="00F3601A">
              <w:rPr>
                <w:rFonts w:ascii="Calibri" w:hAnsi="Calibri" w:cs="Calibri"/>
                <w:sz w:val="20"/>
                <w:szCs w:val="20"/>
              </w:rPr>
              <w:t>Don't know</w:t>
            </w:r>
          </w:p>
        </w:tc>
        <w:tc>
          <w:tcPr>
            <w:tcW w:w="1308" w:type="dxa"/>
            <w:tcBorders>
              <w:top w:val="nil"/>
              <w:left w:val="nil"/>
              <w:bottom w:val="single" w:sz="4" w:space="0" w:color="auto"/>
              <w:right w:val="single" w:sz="4" w:space="0" w:color="auto"/>
            </w:tcBorders>
            <w:shd w:val="clear" w:color="auto" w:fill="ABD9F8" w:themeFill="accent1" w:themeFillTint="66"/>
            <w:vAlign w:val="center"/>
          </w:tcPr>
          <w:p w:rsidR="00181C2E" w:rsidRPr="00F3601A" w:rsidRDefault="00181C2E" w:rsidP="00DE2792">
            <w:pPr>
              <w:rPr>
                <w:rFonts w:ascii="Calibri" w:hAnsi="Calibri" w:cs="Calibri"/>
                <w:sz w:val="20"/>
                <w:szCs w:val="20"/>
              </w:rPr>
            </w:pPr>
            <w:r w:rsidRPr="00F3601A">
              <w:rPr>
                <w:rFonts w:ascii="Calibri" w:hAnsi="Calibri" w:cs="Calibri"/>
                <w:sz w:val="20"/>
                <w:szCs w:val="20"/>
              </w:rPr>
              <w:t>Don't know</w:t>
            </w:r>
          </w:p>
        </w:tc>
        <w:tc>
          <w:tcPr>
            <w:tcW w:w="1104" w:type="dxa"/>
            <w:tcBorders>
              <w:top w:val="nil"/>
              <w:left w:val="nil"/>
              <w:bottom w:val="single" w:sz="4" w:space="0" w:color="auto"/>
              <w:right w:val="single" w:sz="4" w:space="0" w:color="auto"/>
            </w:tcBorders>
            <w:shd w:val="clear" w:color="auto" w:fill="ABD9F8" w:themeFill="accent1" w:themeFillTint="66"/>
            <w:vAlign w:val="center"/>
          </w:tcPr>
          <w:p w:rsidR="00181C2E" w:rsidRPr="00F3601A" w:rsidRDefault="00181C2E" w:rsidP="00DE2792">
            <w:pPr>
              <w:rPr>
                <w:rFonts w:ascii="Calibri" w:hAnsi="Calibri" w:cs="Calibri"/>
                <w:sz w:val="20"/>
                <w:szCs w:val="20"/>
              </w:rPr>
            </w:pPr>
            <w:r w:rsidRPr="00F3601A">
              <w:rPr>
                <w:rFonts w:ascii="Calibri" w:hAnsi="Calibri" w:cs="Calibri"/>
                <w:sz w:val="20"/>
                <w:szCs w:val="20"/>
              </w:rPr>
              <w:t>Don't know</w:t>
            </w:r>
          </w:p>
        </w:tc>
        <w:tc>
          <w:tcPr>
            <w:tcW w:w="2350" w:type="dxa"/>
            <w:tcBorders>
              <w:top w:val="nil"/>
              <w:left w:val="nil"/>
              <w:bottom w:val="single" w:sz="4" w:space="0" w:color="auto"/>
              <w:right w:val="single" w:sz="4" w:space="0" w:color="auto"/>
            </w:tcBorders>
            <w:shd w:val="clear" w:color="auto" w:fill="ABD9F8" w:themeFill="accent1" w:themeFillTint="66"/>
            <w:vAlign w:val="center"/>
          </w:tcPr>
          <w:p w:rsidR="00181C2E" w:rsidRPr="00F3601A" w:rsidRDefault="00181C2E" w:rsidP="00DE2792">
            <w:pPr>
              <w:rPr>
                <w:rFonts w:ascii="Calibri" w:hAnsi="Calibri" w:cs="Calibri"/>
                <w:sz w:val="20"/>
                <w:szCs w:val="20"/>
              </w:rPr>
            </w:pPr>
            <w:r w:rsidRPr="00F3601A">
              <w:rPr>
                <w:rFonts w:ascii="Calibri" w:hAnsi="Calibri" w:cs="Calibri"/>
                <w:sz w:val="20"/>
                <w:szCs w:val="20"/>
              </w:rPr>
              <w:t>Don't know</w:t>
            </w:r>
          </w:p>
        </w:tc>
      </w:tr>
      <w:tr w:rsidR="00181C2E" w:rsidTr="00DE2792">
        <w:tc>
          <w:tcPr>
            <w:tcW w:w="567" w:type="dxa"/>
            <w:vAlign w:val="center"/>
          </w:tcPr>
          <w:p w:rsidR="00181C2E" w:rsidRPr="008709D2" w:rsidRDefault="00181C2E" w:rsidP="00DE2792">
            <w:pPr>
              <w:rPr>
                <w:rFonts w:cstheme="minorHAnsi"/>
                <w:b/>
                <w:i/>
                <w:sz w:val="20"/>
                <w:szCs w:val="20"/>
              </w:rPr>
            </w:pPr>
            <w:r w:rsidRPr="008709D2">
              <w:rPr>
                <w:rFonts w:cstheme="minorHAnsi"/>
                <w:b/>
                <w:i/>
                <w:sz w:val="20"/>
                <w:szCs w:val="20"/>
              </w:rPr>
              <w:t>27</w:t>
            </w:r>
          </w:p>
        </w:tc>
        <w:tc>
          <w:tcPr>
            <w:tcW w:w="3134" w:type="dxa"/>
            <w:tcBorders>
              <w:top w:val="nil"/>
              <w:left w:val="single" w:sz="4" w:space="0" w:color="auto"/>
              <w:bottom w:val="single" w:sz="4" w:space="0" w:color="auto"/>
              <w:right w:val="single" w:sz="4" w:space="0" w:color="auto"/>
            </w:tcBorders>
            <w:shd w:val="clear" w:color="auto" w:fill="auto"/>
            <w:vAlign w:val="center"/>
          </w:tcPr>
          <w:p w:rsidR="00181C2E" w:rsidRPr="00F3601A" w:rsidRDefault="00181C2E" w:rsidP="00DE2792">
            <w:pPr>
              <w:rPr>
                <w:rFonts w:ascii="Calibri" w:hAnsi="Calibri" w:cs="Calibri"/>
                <w:sz w:val="20"/>
                <w:szCs w:val="20"/>
              </w:rPr>
            </w:pPr>
            <w:r w:rsidRPr="00F3601A">
              <w:rPr>
                <w:rFonts w:ascii="Calibri" w:hAnsi="Calibri" w:cs="Calibri"/>
                <w:sz w:val="20"/>
                <w:szCs w:val="20"/>
              </w:rPr>
              <w:t>Don't know</w:t>
            </w:r>
          </w:p>
        </w:tc>
        <w:tc>
          <w:tcPr>
            <w:tcW w:w="1120" w:type="dxa"/>
            <w:tcBorders>
              <w:top w:val="nil"/>
              <w:left w:val="nil"/>
              <w:bottom w:val="single" w:sz="4" w:space="0" w:color="auto"/>
              <w:right w:val="single" w:sz="4" w:space="0" w:color="auto"/>
            </w:tcBorders>
            <w:shd w:val="clear" w:color="auto" w:fill="auto"/>
            <w:vAlign w:val="center"/>
          </w:tcPr>
          <w:p w:rsidR="00181C2E" w:rsidRPr="00F3601A" w:rsidRDefault="00181C2E" w:rsidP="00DE2792">
            <w:pPr>
              <w:rPr>
                <w:rFonts w:ascii="Calibri" w:hAnsi="Calibri" w:cs="Calibri"/>
                <w:sz w:val="20"/>
                <w:szCs w:val="20"/>
              </w:rPr>
            </w:pPr>
            <w:r w:rsidRPr="00F3601A">
              <w:rPr>
                <w:rFonts w:ascii="Calibri" w:hAnsi="Calibri" w:cs="Calibri"/>
                <w:sz w:val="20"/>
                <w:szCs w:val="20"/>
              </w:rPr>
              <w:t>Don't know</w:t>
            </w:r>
          </w:p>
        </w:tc>
        <w:tc>
          <w:tcPr>
            <w:tcW w:w="1616" w:type="dxa"/>
            <w:tcBorders>
              <w:top w:val="nil"/>
              <w:left w:val="nil"/>
              <w:bottom w:val="single" w:sz="4" w:space="0" w:color="auto"/>
              <w:right w:val="single" w:sz="4" w:space="0" w:color="auto"/>
            </w:tcBorders>
            <w:shd w:val="clear" w:color="auto" w:fill="auto"/>
            <w:vAlign w:val="center"/>
          </w:tcPr>
          <w:p w:rsidR="00181C2E" w:rsidRPr="00F3601A" w:rsidRDefault="00181C2E" w:rsidP="00DE2792">
            <w:pPr>
              <w:rPr>
                <w:rFonts w:ascii="Calibri" w:hAnsi="Calibri" w:cs="Calibri"/>
                <w:sz w:val="20"/>
                <w:szCs w:val="20"/>
              </w:rPr>
            </w:pPr>
            <w:r w:rsidRPr="00F3601A">
              <w:rPr>
                <w:rFonts w:ascii="Calibri" w:hAnsi="Calibri" w:cs="Calibri"/>
                <w:sz w:val="20"/>
                <w:szCs w:val="20"/>
              </w:rPr>
              <w:t>Don't know</w:t>
            </w:r>
          </w:p>
        </w:tc>
        <w:tc>
          <w:tcPr>
            <w:tcW w:w="1308" w:type="dxa"/>
            <w:tcBorders>
              <w:top w:val="nil"/>
              <w:left w:val="nil"/>
              <w:bottom w:val="single" w:sz="4" w:space="0" w:color="auto"/>
              <w:right w:val="single" w:sz="4" w:space="0" w:color="auto"/>
            </w:tcBorders>
            <w:shd w:val="clear" w:color="auto" w:fill="auto"/>
            <w:vAlign w:val="center"/>
          </w:tcPr>
          <w:p w:rsidR="00181C2E" w:rsidRPr="00F3601A" w:rsidRDefault="00181C2E" w:rsidP="00DE2792">
            <w:pPr>
              <w:rPr>
                <w:rFonts w:ascii="Calibri" w:hAnsi="Calibri" w:cs="Calibri"/>
                <w:sz w:val="20"/>
                <w:szCs w:val="20"/>
              </w:rPr>
            </w:pPr>
            <w:r w:rsidRPr="00F3601A">
              <w:rPr>
                <w:rFonts w:ascii="Calibri" w:hAnsi="Calibri" w:cs="Calibri"/>
                <w:sz w:val="20"/>
                <w:szCs w:val="20"/>
              </w:rPr>
              <w:t>Don't know</w:t>
            </w:r>
          </w:p>
        </w:tc>
        <w:tc>
          <w:tcPr>
            <w:tcW w:w="1104" w:type="dxa"/>
            <w:tcBorders>
              <w:top w:val="nil"/>
              <w:left w:val="nil"/>
              <w:bottom w:val="single" w:sz="4" w:space="0" w:color="auto"/>
              <w:right w:val="single" w:sz="4" w:space="0" w:color="auto"/>
            </w:tcBorders>
            <w:shd w:val="clear" w:color="auto" w:fill="auto"/>
            <w:vAlign w:val="center"/>
          </w:tcPr>
          <w:p w:rsidR="00181C2E" w:rsidRPr="00F3601A" w:rsidRDefault="00181C2E" w:rsidP="00DE2792">
            <w:pPr>
              <w:rPr>
                <w:rFonts w:ascii="Calibri" w:hAnsi="Calibri" w:cs="Calibri"/>
                <w:sz w:val="20"/>
                <w:szCs w:val="20"/>
              </w:rPr>
            </w:pPr>
            <w:r w:rsidRPr="00F3601A">
              <w:rPr>
                <w:rFonts w:ascii="Calibri" w:hAnsi="Calibri" w:cs="Calibri"/>
                <w:sz w:val="20"/>
                <w:szCs w:val="20"/>
              </w:rPr>
              <w:t>Don't know</w:t>
            </w:r>
          </w:p>
        </w:tc>
        <w:tc>
          <w:tcPr>
            <w:tcW w:w="2350" w:type="dxa"/>
            <w:tcBorders>
              <w:top w:val="nil"/>
              <w:left w:val="nil"/>
              <w:bottom w:val="single" w:sz="4" w:space="0" w:color="auto"/>
              <w:right w:val="single" w:sz="4" w:space="0" w:color="auto"/>
            </w:tcBorders>
            <w:shd w:val="clear" w:color="auto" w:fill="auto"/>
            <w:vAlign w:val="center"/>
          </w:tcPr>
          <w:p w:rsidR="00181C2E" w:rsidRPr="00F3601A" w:rsidRDefault="00181C2E" w:rsidP="00DE2792">
            <w:pPr>
              <w:rPr>
                <w:rFonts w:ascii="Calibri" w:hAnsi="Calibri" w:cs="Calibri"/>
                <w:sz w:val="20"/>
                <w:szCs w:val="20"/>
              </w:rPr>
            </w:pPr>
            <w:r w:rsidRPr="00F3601A">
              <w:rPr>
                <w:rFonts w:ascii="Calibri" w:hAnsi="Calibri" w:cs="Calibri"/>
                <w:sz w:val="20"/>
                <w:szCs w:val="20"/>
              </w:rPr>
              <w:t>Don't know</w:t>
            </w:r>
          </w:p>
        </w:tc>
      </w:tr>
      <w:tr w:rsidR="00181C2E" w:rsidTr="00DE2792">
        <w:tc>
          <w:tcPr>
            <w:tcW w:w="567" w:type="dxa"/>
            <w:shd w:val="clear" w:color="auto" w:fill="ABD9F8" w:themeFill="accent1" w:themeFillTint="66"/>
            <w:vAlign w:val="center"/>
          </w:tcPr>
          <w:p w:rsidR="00181C2E" w:rsidRPr="008709D2" w:rsidRDefault="00181C2E" w:rsidP="00DE2792">
            <w:pPr>
              <w:rPr>
                <w:rFonts w:cstheme="minorHAnsi"/>
                <w:b/>
                <w:i/>
                <w:sz w:val="20"/>
                <w:szCs w:val="20"/>
              </w:rPr>
            </w:pPr>
            <w:r w:rsidRPr="008709D2">
              <w:rPr>
                <w:rFonts w:cstheme="minorHAnsi"/>
                <w:b/>
                <w:i/>
                <w:sz w:val="20"/>
                <w:szCs w:val="20"/>
              </w:rPr>
              <w:t>28</w:t>
            </w:r>
          </w:p>
        </w:tc>
        <w:tc>
          <w:tcPr>
            <w:tcW w:w="3134" w:type="dxa"/>
            <w:tcBorders>
              <w:top w:val="nil"/>
              <w:left w:val="single" w:sz="4" w:space="0" w:color="auto"/>
              <w:bottom w:val="single" w:sz="4" w:space="0" w:color="auto"/>
              <w:right w:val="single" w:sz="4" w:space="0" w:color="auto"/>
            </w:tcBorders>
            <w:shd w:val="clear" w:color="auto" w:fill="ABD9F8" w:themeFill="accent1" w:themeFillTint="66"/>
            <w:vAlign w:val="center"/>
          </w:tcPr>
          <w:p w:rsidR="00181C2E" w:rsidRPr="00F3601A" w:rsidRDefault="00181C2E" w:rsidP="00DE2792">
            <w:pPr>
              <w:rPr>
                <w:rFonts w:ascii="Calibri" w:hAnsi="Calibri" w:cs="Calibri"/>
                <w:sz w:val="20"/>
                <w:szCs w:val="20"/>
              </w:rPr>
            </w:pPr>
            <w:r w:rsidRPr="00F3601A">
              <w:rPr>
                <w:rFonts w:ascii="Calibri" w:hAnsi="Calibri" w:cs="Calibri"/>
                <w:sz w:val="20"/>
                <w:szCs w:val="20"/>
              </w:rPr>
              <w:t>Don't know</w:t>
            </w:r>
          </w:p>
        </w:tc>
        <w:tc>
          <w:tcPr>
            <w:tcW w:w="1120" w:type="dxa"/>
            <w:tcBorders>
              <w:top w:val="nil"/>
              <w:left w:val="nil"/>
              <w:bottom w:val="single" w:sz="4" w:space="0" w:color="auto"/>
              <w:right w:val="single" w:sz="4" w:space="0" w:color="auto"/>
            </w:tcBorders>
            <w:shd w:val="clear" w:color="auto" w:fill="ABD9F8" w:themeFill="accent1" w:themeFillTint="66"/>
            <w:vAlign w:val="center"/>
          </w:tcPr>
          <w:p w:rsidR="00181C2E" w:rsidRPr="00F3601A" w:rsidRDefault="00181C2E" w:rsidP="00DE2792">
            <w:pPr>
              <w:rPr>
                <w:rFonts w:ascii="Calibri" w:hAnsi="Calibri" w:cs="Calibri"/>
                <w:sz w:val="20"/>
                <w:szCs w:val="20"/>
              </w:rPr>
            </w:pPr>
            <w:r w:rsidRPr="00F3601A">
              <w:rPr>
                <w:rFonts w:ascii="Calibri" w:hAnsi="Calibri" w:cs="Calibri"/>
                <w:sz w:val="20"/>
                <w:szCs w:val="20"/>
              </w:rPr>
              <w:t>Don't know</w:t>
            </w:r>
          </w:p>
        </w:tc>
        <w:tc>
          <w:tcPr>
            <w:tcW w:w="1616" w:type="dxa"/>
            <w:tcBorders>
              <w:top w:val="nil"/>
              <w:left w:val="nil"/>
              <w:bottom w:val="single" w:sz="4" w:space="0" w:color="auto"/>
              <w:right w:val="single" w:sz="4" w:space="0" w:color="auto"/>
            </w:tcBorders>
            <w:shd w:val="clear" w:color="auto" w:fill="ABD9F8" w:themeFill="accent1" w:themeFillTint="66"/>
            <w:vAlign w:val="center"/>
          </w:tcPr>
          <w:p w:rsidR="00181C2E" w:rsidRPr="00F3601A" w:rsidRDefault="00181C2E" w:rsidP="00DE2792">
            <w:pPr>
              <w:rPr>
                <w:rFonts w:ascii="Calibri" w:hAnsi="Calibri" w:cs="Calibri"/>
                <w:sz w:val="20"/>
                <w:szCs w:val="20"/>
              </w:rPr>
            </w:pPr>
            <w:r w:rsidRPr="00F3601A">
              <w:rPr>
                <w:rFonts w:ascii="Calibri" w:hAnsi="Calibri" w:cs="Calibri"/>
                <w:sz w:val="20"/>
                <w:szCs w:val="20"/>
              </w:rPr>
              <w:t>Don't know</w:t>
            </w:r>
          </w:p>
        </w:tc>
        <w:tc>
          <w:tcPr>
            <w:tcW w:w="1308" w:type="dxa"/>
            <w:tcBorders>
              <w:top w:val="nil"/>
              <w:left w:val="nil"/>
              <w:bottom w:val="single" w:sz="4" w:space="0" w:color="auto"/>
              <w:right w:val="single" w:sz="4" w:space="0" w:color="auto"/>
            </w:tcBorders>
            <w:shd w:val="clear" w:color="auto" w:fill="ABD9F8" w:themeFill="accent1" w:themeFillTint="66"/>
            <w:vAlign w:val="center"/>
          </w:tcPr>
          <w:p w:rsidR="00181C2E" w:rsidRPr="00F3601A" w:rsidRDefault="00181C2E" w:rsidP="00DE2792">
            <w:pPr>
              <w:rPr>
                <w:rFonts w:ascii="Calibri" w:hAnsi="Calibri" w:cs="Calibri"/>
                <w:sz w:val="20"/>
                <w:szCs w:val="20"/>
              </w:rPr>
            </w:pPr>
            <w:r w:rsidRPr="00F3601A">
              <w:rPr>
                <w:rFonts w:ascii="Calibri" w:hAnsi="Calibri" w:cs="Calibri"/>
                <w:sz w:val="20"/>
                <w:szCs w:val="20"/>
              </w:rPr>
              <w:t>Don't know</w:t>
            </w:r>
          </w:p>
        </w:tc>
        <w:tc>
          <w:tcPr>
            <w:tcW w:w="1104" w:type="dxa"/>
            <w:tcBorders>
              <w:top w:val="nil"/>
              <w:left w:val="nil"/>
              <w:bottom w:val="single" w:sz="4" w:space="0" w:color="auto"/>
              <w:right w:val="single" w:sz="4" w:space="0" w:color="auto"/>
            </w:tcBorders>
            <w:shd w:val="clear" w:color="auto" w:fill="ABD9F8" w:themeFill="accent1" w:themeFillTint="66"/>
            <w:vAlign w:val="center"/>
          </w:tcPr>
          <w:p w:rsidR="00181C2E" w:rsidRPr="00F3601A" w:rsidRDefault="00181C2E" w:rsidP="00DE2792">
            <w:pPr>
              <w:rPr>
                <w:rFonts w:ascii="Calibri" w:hAnsi="Calibri" w:cs="Calibri"/>
                <w:sz w:val="20"/>
                <w:szCs w:val="20"/>
              </w:rPr>
            </w:pPr>
            <w:r w:rsidRPr="00F3601A">
              <w:rPr>
                <w:rFonts w:ascii="Calibri" w:hAnsi="Calibri" w:cs="Calibri"/>
                <w:sz w:val="20"/>
                <w:szCs w:val="20"/>
              </w:rPr>
              <w:t>Don't know</w:t>
            </w:r>
          </w:p>
        </w:tc>
        <w:tc>
          <w:tcPr>
            <w:tcW w:w="2350" w:type="dxa"/>
            <w:tcBorders>
              <w:top w:val="nil"/>
              <w:left w:val="nil"/>
              <w:bottom w:val="single" w:sz="4" w:space="0" w:color="auto"/>
              <w:right w:val="single" w:sz="4" w:space="0" w:color="auto"/>
            </w:tcBorders>
            <w:shd w:val="clear" w:color="auto" w:fill="ABD9F8" w:themeFill="accent1" w:themeFillTint="66"/>
            <w:vAlign w:val="center"/>
          </w:tcPr>
          <w:p w:rsidR="00181C2E" w:rsidRPr="00F3601A" w:rsidRDefault="00181C2E" w:rsidP="00DE2792">
            <w:pPr>
              <w:rPr>
                <w:rFonts w:ascii="Calibri" w:hAnsi="Calibri" w:cs="Calibri"/>
                <w:sz w:val="20"/>
                <w:szCs w:val="20"/>
              </w:rPr>
            </w:pPr>
            <w:r w:rsidRPr="00F3601A">
              <w:rPr>
                <w:rFonts w:ascii="Calibri" w:hAnsi="Calibri" w:cs="Calibri"/>
                <w:sz w:val="20"/>
                <w:szCs w:val="20"/>
              </w:rPr>
              <w:t>Don't know</w:t>
            </w:r>
          </w:p>
        </w:tc>
      </w:tr>
      <w:tr w:rsidR="00181C2E" w:rsidTr="00DE2792">
        <w:tc>
          <w:tcPr>
            <w:tcW w:w="567" w:type="dxa"/>
            <w:vAlign w:val="center"/>
          </w:tcPr>
          <w:p w:rsidR="00181C2E" w:rsidRPr="008709D2" w:rsidRDefault="00181C2E" w:rsidP="00DE2792">
            <w:pPr>
              <w:rPr>
                <w:rFonts w:cstheme="minorHAnsi"/>
                <w:b/>
                <w:i/>
                <w:sz w:val="20"/>
                <w:szCs w:val="20"/>
              </w:rPr>
            </w:pPr>
            <w:r w:rsidRPr="008709D2">
              <w:rPr>
                <w:rFonts w:cstheme="minorHAnsi"/>
                <w:b/>
                <w:i/>
                <w:sz w:val="20"/>
                <w:szCs w:val="20"/>
              </w:rPr>
              <w:t>29</w:t>
            </w:r>
          </w:p>
        </w:tc>
        <w:tc>
          <w:tcPr>
            <w:tcW w:w="3134" w:type="dxa"/>
            <w:tcBorders>
              <w:top w:val="nil"/>
              <w:left w:val="single" w:sz="4" w:space="0" w:color="auto"/>
              <w:bottom w:val="single" w:sz="4" w:space="0" w:color="auto"/>
              <w:right w:val="single" w:sz="4" w:space="0" w:color="auto"/>
            </w:tcBorders>
            <w:shd w:val="clear" w:color="auto" w:fill="auto"/>
            <w:vAlign w:val="center"/>
          </w:tcPr>
          <w:p w:rsidR="00181C2E" w:rsidRPr="00F3601A" w:rsidRDefault="00181C2E" w:rsidP="00DE2792">
            <w:pPr>
              <w:rPr>
                <w:rFonts w:ascii="Calibri" w:hAnsi="Calibri" w:cs="Calibri"/>
                <w:sz w:val="20"/>
                <w:szCs w:val="20"/>
              </w:rPr>
            </w:pPr>
            <w:r w:rsidRPr="00F3601A">
              <w:rPr>
                <w:rFonts w:ascii="Calibri" w:hAnsi="Calibri" w:cs="Calibri"/>
                <w:sz w:val="20"/>
                <w:szCs w:val="20"/>
              </w:rPr>
              <w:t>Two preparatory meetings were</w:t>
            </w:r>
            <w:r>
              <w:rPr>
                <w:rFonts w:ascii="Calibri" w:hAnsi="Calibri" w:cs="Calibri"/>
                <w:sz w:val="20"/>
                <w:szCs w:val="20"/>
              </w:rPr>
              <w:t xml:space="preserve"> </w:t>
            </w:r>
            <w:r w:rsidRPr="00F3601A">
              <w:rPr>
                <w:rFonts w:ascii="Calibri" w:hAnsi="Calibri" w:cs="Calibri"/>
                <w:sz w:val="20"/>
                <w:szCs w:val="20"/>
              </w:rPr>
              <w:t>held with the jury so that they could learn how to read a research report and to manage the results. Followed by small group discussion.</w:t>
            </w:r>
          </w:p>
        </w:tc>
        <w:tc>
          <w:tcPr>
            <w:tcW w:w="1120" w:type="dxa"/>
            <w:tcBorders>
              <w:top w:val="nil"/>
              <w:left w:val="nil"/>
              <w:bottom w:val="single" w:sz="4" w:space="0" w:color="auto"/>
              <w:right w:val="single" w:sz="4" w:space="0" w:color="auto"/>
            </w:tcBorders>
            <w:shd w:val="clear" w:color="auto" w:fill="auto"/>
            <w:vAlign w:val="center"/>
          </w:tcPr>
          <w:p w:rsidR="00181C2E" w:rsidRPr="00F3601A" w:rsidRDefault="00181C2E" w:rsidP="00DE2792">
            <w:pPr>
              <w:rPr>
                <w:rFonts w:ascii="Calibri" w:hAnsi="Calibri" w:cs="Calibri"/>
                <w:sz w:val="20"/>
                <w:szCs w:val="20"/>
              </w:rPr>
            </w:pPr>
            <w:r w:rsidRPr="00F3601A">
              <w:rPr>
                <w:rFonts w:ascii="Calibri" w:hAnsi="Calibri" w:cs="Calibri"/>
                <w:sz w:val="20"/>
                <w:szCs w:val="20"/>
              </w:rPr>
              <w:t>15</w:t>
            </w:r>
          </w:p>
        </w:tc>
        <w:tc>
          <w:tcPr>
            <w:tcW w:w="1616" w:type="dxa"/>
            <w:tcBorders>
              <w:top w:val="nil"/>
              <w:left w:val="nil"/>
              <w:bottom w:val="single" w:sz="4" w:space="0" w:color="auto"/>
              <w:right w:val="single" w:sz="4" w:space="0" w:color="auto"/>
            </w:tcBorders>
            <w:shd w:val="clear" w:color="auto" w:fill="auto"/>
            <w:vAlign w:val="center"/>
          </w:tcPr>
          <w:p w:rsidR="00181C2E" w:rsidRPr="00F3601A" w:rsidRDefault="00181C2E" w:rsidP="00DE2792">
            <w:pPr>
              <w:rPr>
                <w:rFonts w:ascii="Calibri" w:hAnsi="Calibri" w:cs="Calibri"/>
                <w:sz w:val="20"/>
                <w:szCs w:val="20"/>
              </w:rPr>
            </w:pPr>
            <w:r w:rsidRPr="00F3601A">
              <w:rPr>
                <w:rFonts w:ascii="Calibri" w:hAnsi="Calibri" w:cs="Calibri"/>
                <w:sz w:val="20"/>
                <w:szCs w:val="20"/>
              </w:rPr>
              <w:t>Knowledge experts</w:t>
            </w:r>
          </w:p>
        </w:tc>
        <w:tc>
          <w:tcPr>
            <w:tcW w:w="1308" w:type="dxa"/>
            <w:tcBorders>
              <w:top w:val="nil"/>
              <w:left w:val="nil"/>
              <w:bottom w:val="single" w:sz="4" w:space="0" w:color="auto"/>
              <w:right w:val="single" w:sz="4" w:space="0" w:color="auto"/>
            </w:tcBorders>
            <w:shd w:val="clear" w:color="auto" w:fill="auto"/>
            <w:vAlign w:val="center"/>
          </w:tcPr>
          <w:p w:rsidR="00181C2E" w:rsidRPr="00F3601A" w:rsidRDefault="00181C2E" w:rsidP="00DE2792">
            <w:pPr>
              <w:rPr>
                <w:rFonts w:ascii="Calibri" w:hAnsi="Calibri" w:cs="Calibri"/>
                <w:sz w:val="20"/>
                <w:szCs w:val="20"/>
              </w:rPr>
            </w:pPr>
            <w:r w:rsidRPr="00F3601A">
              <w:rPr>
                <w:rFonts w:ascii="Calibri" w:hAnsi="Calibri" w:cs="Calibri"/>
                <w:sz w:val="20"/>
                <w:szCs w:val="20"/>
              </w:rPr>
              <w:t>Don't know</w:t>
            </w:r>
          </w:p>
        </w:tc>
        <w:tc>
          <w:tcPr>
            <w:tcW w:w="1104" w:type="dxa"/>
            <w:tcBorders>
              <w:top w:val="nil"/>
              <w:left w:val="nil"/>
              <w:bottom w:val="single" w:sz="4" w:space="0" w:color="auto"/>
              <w:right w:val="single" w:sz="4" w:space="0" w:color="auto"/>
            </w:tcBorders>
            <w:shd w:val="clear" w:color="auto" w:fill="auto"/>
            <w:vAlign w:val="center"/>
          </w:tcPr>
          <w:p w:rsidR="00181C2E" w:rsidRPr="00F3601A" w:rsidRDefault="00181C2E" w:rsidP="00DE2792">
            <w:pPr>
              <w:rPr>
                <w:rFonts w:ascii="Calibri" w:hAnsi="Calibri" w:cs="Calibri"/>
                <w:sz w:val="20"/>
                <w:szCs w:val="20"/>
              </w:rPr>
            </w:pPr>
            <w:r w:rsidRPr="00F3601A">
              <w:rPr>
                <w:rFonts w:ascii="Calibri" w:hAnsi="Calibri" w:cs="Calibri"/>
                <w:sz w:val="20"/>
                <w:szCs w:val="20"/>
              </w:rPr>
              <w:t>Don't know</w:t>
            </w:r>
          </w:p>
        </w:tc>
        <w:tc>
          <w:tcPr>
            <w:tcW w:w="2350" w:type="dxa"/>
            <w:tcBorders>
              <w:top w:val="nil"/>
              <w:left w:val="nil"/>
              <w:bottom w:val="single" w:sz="4" w:space="0" w:color="auto"/>
              <w:right w:val="single" w:sz="4" w:space="0" w:color="auto"/>
            </w:tcBorders>
            <w:shd w:val="clear" w:color="auto" w:fill="auto"/>
            <w:vAlign w:val="center"/>
          </w:tcPr>
          <w:p w:rsidR="00181C2E" w:rsidRPr="00F3601A" w:rsidRDefault="00181C2E" w:rsidP="00DE2792">
            <w:pPr>
              <w:rPr>
                <w:rFonts w:ascii="Calibri" w:hAnsi="Calibri" w:cs="Calibri"/>
                <w:sz w:val="20"/>
                <w:szCs w:val="20"/>
              </w:rPr>
            </w:pPr>
            <w:r w:rsidRPr="00F3601A">
              <w:rPr>
                <w:rFonts w:ascii="Calibri" w:hAnsi="Calibri" w:cs="Calibri"/>
                <w:sz w:val="20"/>
                <w:szCs w:val="20"/>
              </w:rPr>
              <w:t>Written reports, discussion sessions</w:t>
            </w:r>
          </w:p>
        </w:tc>
      </w:tr>
    </w:tbl>
    <w:p w:rsidR="001E2C29" w:rsidRPr="001D39E7" w:rsidRDefault="001E2C29" w:rsidP="001D39E7">
      <w:pPr>
        <w:rPr>
          <w:i/>
          <w:sz w:val="24"/>
          <w:szCs w:val="24"/>
          <w:lang w:val="it-IT"/>
        </w:rPr>
      </w:pPr>
    </w:p>
    <w:p w:rsidR="001D39E7" w:rsidRPr="00665371" w:rsidRDefault="001D39E7" w:rsidP="001D39E7">
      <w:pPr>
        <w:numPr>
          <w:ilvl w:val="0"/>
          <w:numId w:val="12"/>
        </w:numPr>
        <w:rPr>
          <w:i/>
          <w:color w:val="0B5484" w:themeColor="accent1" w:themeShade="80"/>
          <w:sz w:val="24"/>
          <w:szCs w:val="24"/>
          <w:lang w:val="it-IT"/>
        </w:rPr>
      </w:pPr>
      <w:r w:rsidRPr="00665371">
        <w:rPr>
          <w:b/>
          <w:i/>
          <w:color w:val="0B5484" w:themeColor="accent1" w:themeShade="80"/>
          <w:sz w:val="24"/>
          <w:szCs w:val="24"/>
        </w:rPr>
        <w:t xml:space="preserve">Are there any trends across the cases in each country that suggest some </w:t>
      </w:r>
      <w:r w:rsidRPr="00665371">
        <w:rPr>
          <w:b/>
          <w:i/>
          <w:color w:val="0B5484" w:themeColor="accent1" w:themeShade="80"/>
          <w:sz w:val="24"/>
          <w:szCs w:val="24"/>
          <w:lang w:val="it-IT"/>
        </w:rPr>
        <w:t>types of expert, methods of expert recruitment, and the methods of presentation of evidence influences the liklihood a mini-public will influence policy and practice</w:t>
      </w:r>
      <w:r w:rsidRPr="00665371">
        <w:rPr>
          <w:i/>
          <w:color w:val="0B5484" w:themeColor="accent1" w:themeShade="80"/>
          <w:sz w:val="24"/>
          <w:szCs w:val="24"/>
          <w:lang w:val="it-IT"/>
        </w:rPr>
        <w:t>?</w:t>
      </w:r>
    </w:p>
    <w:p w:rsidR="001D39E7" w:rsidRDefault="00665371" w:rsidP="00207268">
      <w:pPr>
        <w:jc w:val="both"/>
        <w:rPr>
          <w:sz w:val="24"/>
          <w:szCs w:val="24"/>
          <w:lang w:val="it-IT"/>
        </w:rPr>
      </w:pPr>
      <w:r>
        <w:rPr>
          <w:sz w:val="24"/>
          <w:szCs w:val="24"/>
          <w:lang w:val="it-IT"/>
        </w:rPr>
        <w:t>Again there is a lack of relevant information reported accross the identified cases to make this assessment.</w:t>
      </w:r>
    </w:p>
    <w:p w:rsidR="00181C2E" w:rsidRDefault="00181C2E" w:rsidP="00207268">
      <w:pPr>
        <w:jc w:val="both"/>
        <w:rPr>
          <w:sz w:val="24"/>
          <w:szCs w:val="24"/>
          <w:lang w:val="it-IT"/>
        </w:rPr>
      </w:pPr>
    </w:p>
    <w:p w:rsidR="00181C2E" w:rsidRDefault="00181C2E" w:rsidP="00207268">
      <w:pPr>
        <w:jc w:val="both"/>
        <w:rPr>
          <w:sz w:val="24"/>
          <w:szCs w:val="24"/>
          <w:lang w:val="it-IT"/>
        </w:rPr>
      </w:pPr>
    </w:p>
    <w:p w:rsidR="00181C2E" w:rsidRDefault="00181C2E" w:rsidP="00207268">
      <w:pPr>
        <w:jc w:val="both"/>
        <w:rPr>
          <w:sz w:val="24"/>
          <w:szCs w:val="24"/>
          <w:lang w:val="it-IT"/>
        </w:rPr>
      </w:pPr>
    </w:p>
    <w:p w:rsidR="00181C2E" w:rsidRDefault="00181C2E" w:rsidP="00207268">
      <w:pPr>
        <w:jc w:val="both"/>
        <w:rPr>
          <w:sz w:val="24"/>
          <w:szCs w:val="24"/>
          <w:lang w:val="it-IT"/>
        </w:rPr>
      </w:pPr>
    </w:p>
    <w:p w:rsidR="00181C2E" w:rsidRPr="00C82A8C" w:rsidRDefault="00181C2E" w:rsidP="00181C2E">
      <w:pPr>
        <w:jc w:val="both"/>
        <w:rPr>
          <w:b/>
          <w:color w:val="0B5484" w:themeColor="accent1" w:themeShade="80"/>
          <w:sz w:val="24"/>
          <w:szCs w:val="24"/>
        </w:rPr>
      </w:pPr>
      <w:r>
        <w:rPr>
          <w:b/>
          <w:bCs/>
          <w:color w:val="0B5484" w:themeColor="accent1" w:themeShade="80"/>
          <w:sz w:val="24"/>
          <w:szCs w:val="24"/>
        </w:rPr>
        <w:lastRenderedPageBreak/>
        <w:t xml:space="preserve">Table 11: </w:t>
      </w:r>
      <w:r>
        <w:rPr>
          <w:b/>
          <w:color w:val="0B5484" w:themeColor="accent1" w:themeShade="80"/>
          <w:sz w:val="24"/>
          <w:szCs w:val="24"/>
        </w:rPr>
        <w:t xml:space="preserve">France: </w:t>
      </w:r>
      <w:r>
        <w:rPr>
          <w:b/>
          <w:bCs/>
          <w:color w:val="0B5484" w:themeColor="accent1" w:themeShade="80"/>
          <w:sz w:val="24"/>
          <w:szCs w:val="24"/>
        </w:rPr>
        <w:t>Impact in</w:t>
      </w:r>
      <w:r w:rsidRPr="00C82A8C">
        <w:rPr>
          <w:b/>
          <w:bCs/>
          <w:color w:val="0B5484" w:themeColor="accent1" w:themeShade="80"/>
          <w:sz w:val="24"/>
          <w:szCs w:val="24"/>
        </w:rPr>
        <w:t xml:space="preserve"> </w:t>
      </w:r>
      <w:r>
        <w:rPr>
          <w:b/>
          <w:color w:val="0B5484" w:themeColor="accent1" w:themeShade="80"/>
          <w:sz w:val="24"/>
          <w:szCs w:val="24"/>
        </w:rPr>
        <w:t xml:space="preserve">Mini-Public </w:t>
      </w:r>
      <w:r w:rsidRPr="00C82A8C">
        <w:rPr>
          <w:b/>
          <w:color w:val="0B5484" w:themeColor="accent1" w:themeShade="80"/>
          <w:sz w:val="24"/>
          <w:szCs w:val="24"/>
        </w:rPr>
        <w:t>Cases</w:t>
      </w:r>
    </w:p>
    <w:tbl>
      <w:tblPr>
        <w:tblStyle w:val="TableGrid"/>
        <w:tblW w:w="11199" w:type="dxa"/>
        <w:tblInd w:w="-998" w:type="dxa"/>
        <w:tblLook w:val="04A0" w:firstRow="1" w:lastRow="0" w:firstColumn="1" w:lastColumn="0" w:noHBand="0" w:noVBand="1"/>
      </w:tblPr>
      <w:tblGrid>
        <w:gridCol w:w="510"/>
        <w:gridCol w:w="3546"/>
        <w:gridCol w:w="1502"/>
        <w:gridCol w:w="2665"/>
        <w:gridCol w:w="2976"/>
      </w:tblGrid>
      <w:tr w:rsidR="001E2C29" w:rsidTr="00DE2792">
        <w:tc>
          <w:tcPr>
            <w:tcW w:w="510" w:type="dxa"/>
            <w:shd w:val="clear" w:color="auto" w:fill="FFFFFF" w:themeFill="background1"/>
          </w:tcPr>
          <w:p w:rsidR="001E2C29" w:rsidRPr="00C4576A" w:rsidRDefault="001E2C29" w:rsidP="00DE2792">
            <w:pPr>
              <w:rPr>
                <w:rFonts w:cstheme="minorHAnsi"/>
                <w:i/>
                <w:color w:val="0B5484" w:themeColor="accent1" w:themeShade="80"/>
                <w:sz w:val="20"/>
                <w:szCs w:val="20"/>
              </w:rPr>
            </w:pPr>
            <w:r w:rsidRPr="00C4576A">
              <w:rPr>
                <w:rFonts w:cstheme="minorHAnsi"/>
                <w:b/>
                <w:i/>
                <w:color w:val="0B5484" w:themeColor="accent1" w:themeShade="80"/>
                <w:sz w:val="20"/>
                <w:szCs w:val="20"/>
              </w:rPr>
              <w:t>No.</w:t>
            </w:r>
          </w:p>
        </w:tc>
        <w:tc>
          <w:tcPr>
            <w:tcW w:w="35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E2C29" w:rsidRPr="00C4576A" w:rsidRDefault="001E2C29" w:rsidP="00DE2792">
            <w:pPr>
              <w:rPr>
                <w:rFonts w:cstheme="minorHAnsi"/>
                <w:b/>
                <w:bCs/>
                <w:i/>
                <w:color w:val="0B5484" w:themeColor="accent1" w:themeShade="80"/>
                <w:sz w:val="20"/>
                <w:szCs w:val="20"/>
              </w:rPr>
            </w:pPr>
            <w:r w:rsidRPr="00C4576A">
              <w:rPr>
                <w:rFonts w:cstheme="minorHAnsi"/>
                <w:b/>
                <w:bCs/>
                <w:i/>
                <w:color w:val="0B5484" w:themeColor="accent1" w:themeShade="80"/>
                <w:sz w:val="20"/>
                <w:szCs w:val="20"/>
              </w:rPr>
              <w:t>Influence of evidence on participants</w:t>
            </w:r>
          </w:p>
        </w:tc>
        <w:tc>
          <w:tcPr>
            <w:tcW w:w="1502" w:type="dxa"/>
            <w:tcBorders>
              <w:top w:val="single" w:sz="4" w:space="0" w:color="auto"/>
              <w:left w:val="nil"/>
              <w:bottom w:val="single" w:sz="4" w:space="0" w:color="auto"/>
              <w:right w:val="single" w:sz="4" w:space="0" w:color="auto"/>
            </w:tcBorders>
            <w:shd w:val="clear" w:color="auto" w:fill="FFFFFF" w:themeFill="background1"/>
            <w:vAlign w:val="center"/>
          </w:tcPr>
          <w:p w:rsidR="001E2C29" w:rsidRPr="00C4576A" w:rsidRDefault="001E2C29" w:rsidP="00DE2792">
            <w:pPr>
              <w:rPr>
                <w:rFonts w:cstheme="minorHAnsi"/>
                <w:b/>
                <w:bCs/>
                <w:i/>
                <w:color w:val="0B5484" w:themeColor="accent1" w:themeShade="80"/>
                <w:sz w:val="20"/>
                <w:szCs w:val="20"/>
              </w:rPr>
            </w:pPr>
            <w:r w:rsidRPr="00C4576A">
              <w:rPr>
                <w:rFonts w:cstheme="minorHAnsi"/>
                <w:b/>
                <w:bCs/>
                <w:i/>
                <w:color w:val="0B5484" w:themeColor="accent1" w:themeShade="80"/>
                <w:sz w:val="20"/>
                <w:szCs w:val="20"/>
              </w:rPr>
              <w:t xml:space="preserve">Policy area </w:t>
            </w:r>
          </w:p>
        </w:tc>
        <w:tc>
          <w:tcPr>
            <w:tcW w:w="2665" w:type="dxa"/>
            <w:tcBorders>
              <w:top w:val="single" w:sz="4" w:space="0" w:color="auto"/>
              <w:left w:val="nil"/>
              <w:bottom w:val="single" w:sz="4" w:space="0" w:color="auto"/>
              <w:right w:val="single" w:sz="4" w:space="0" w:color="auto"/>
            </w:tcBorders>
            <w:shd w:val="clear" w:color="auto" w:fill="FFFFFF" w:themeFill="background1"/>
            <w:vAlign w:val="center"/>
          </w:tcPr>
          <w:p w:rsidR="001E2C29" w:rsidRPr="00C4576A" w:rsidRDefault="001E2C29" w:rsidP="00DE2792">
            <w:pPr>
              <w:rPr>
                <w:rFonts w:cstheme="minorHAnsi"/>
                <w:b/>
                <w:bCs/>
                <w:i/>
                <w:color w:val="0B5484" w:themeColor="accent1" w:themeShade="80"/>
                <w:sz w:val="20"/>
                <w:szCs w:val="20"/>
              </w:rPr>
            </w:pPr>
            <w:r w:rsidRPr="00C4576A">
              <w:rPr>
                <w:rFonts w:cstheme="minorHAnsi"/>
                <w:b/>
                <w:bCs/>
                <w:i/>
                <w:color w:val="0B5484" w:themeColor="accent1" w:themeShade="80"/>
                <w:sz w:val="20"/>
                <w:szCs w:val="20"/>
              </w:rPr>
              <w:t>Extent of policy/ practice influence</w:t>
            </w:r>
          </w:p>
        </w:tc>
        <w:tc>
          <w:tcPr>
            <w:tcW w:w="2976" w:type="dxa"/>
            <w:tcBorders>
              <w:top w:val="single" w:sz="4" w:space="0" w:color="auto"/>
              <w:left w:val="nil"/>
              <w:bottom w:val="single" w:sz="4" w:space="0" w:color="auto"/>
              <w:right w:val="single" w:sz="4" w:space="0" w:color="auto"/>
            </w:tcBorders>
            <w:shd w:val="clear" w:color="auto" w:fill="FFFFFF" w:themeFill="background1"/>
            <w:vAlign w:val="center"/>
          </w:tcPr>
          <w:p w:rsidR="001E2C29" w:rsidRPr="00C4576A" w:rsidRDefault="001E2C29" w:rsidP="00DE2792">
            <w:pPr>
              <w:rPr>
                <w:rFonts w:cstheme="minorHAnsi"/>
                <w:b/>
                <w:bCs/>
                <w:i/>
                <w:color w:val="0B5484" w:themeColor="accent1" w:themeShade="80"/>
                <w:sz w:val="20"/>
                <w:szCs w:val="20"/>
              </w:rPr>
            </w:pPr>
            <w:r w:rsidRPr="00C4576A">
              <w:rPr>
                <w:rFonts w:cstheme="minorHAnsi"/>
                <w:b/>
                <w:bCs/>
                <w:i/>
                <w:color w:val="0B5484" w:themeColor="accent1" w:themeShade="80"/>
                <w:sz w:val="20"/>
                <w:szCs w:val="20"/>
              </w:rPr>
              <w:t>Key references</w:t>
            </w:r>
          </w:p>
        </w:tc>
      </w:tr>
      <w:tr w:rsidR="001E2C29" w:rsidTr="00DE2792">
        <w:tc>
          <w:tcPr>
            <w:tcW w:w="510" w:type="dxa"/>
            <w:shd w:val="clear" w:color="auto" w:fill="ABD9F8" w:themeFill="accent1" w:themeFillTint="66"/>
            <w:vAlign w:val="center"/>
          </w:tcPr>
          <w:p w:rsidR="001E2C29" w:rsidRPr="008709D2" w:rsidRDefault="001E2C29" w:rsidP="00DE2792">
            <w:pPr>
              <w:rPr>
                <w:rFonts w:cstheme="minorHAnsi"/>
                <w:b/>
                <w:i/>
                <w:sz w:val="20"/>
                <w:szCs w:val="20"/>
              </w:rPr>
            </w:pPr>
            <w:r w:rsidRPr="008709D2">
              <w:rPr>
                <w:rFonts w:cstheme="minorHAnsi"/>
                <w:b/>
                <w:i/>
                <w:sz w:val="20"/>
                <w:szCs w:val="20"/>
              </w:rPr>
              <w:t>24</w:t>
            </w:r>
          </w:p>
        </w:tc>
        <w:tc>
          <w:tcPr>
            <w:tcW w:w="3546" w:type="dxa"/>
            <w:tcBorders>
              <w:top w:val="single" w:sz="4" w:space="0" w:color="auto"/>
              <w:left w:val="single" w:sz="4" w:space="0" w:color="auto"/>
              <w:bottom w:val="single" w:sz="4" w:space="0" w:color="auto"/>
              <w:right w:val="single" w:sz="4" w:space="0" w:color="auto"/>
            </w:tcBorders>
            <w:shd w:val="clear" w:color="auto" w:fill="ABD9F8" w:themeFill="accent1" w:themeFillTint="66"/>
            <w:vAlign w:val="center"/>
          </w:tcPr>
          <w:p w:rsidR="001E2C29" w:rsidRDefault="001E2C29" w:rsidP="00DE2792">
            <w:pPr>
              <w:rPr>
                <w:rFonts w:ascii="Calibri" w:hAnsi="Calibri" w:cs="Calibri"/>
              </w:rPr>
            </w:pPr>
            <w:r>
              <w:rPr>
                <w:rFonts w:ascii="Calibri" w:hAnsi="Calibri" w:cs="Calibri"/>
              </w:rPr>
              <w:t>Don't know</w:t>
            </w:r>
          </w:p>
        </w:tc>
        <w:tc>
          <w:tcPr>
            <w:tcW w:w="1502" w:type="dxa"/>
            <w:tcBorders>
              <w:top w:val="single" w:sz="4" w:space="0" w:color="auto"/>
              <w:left w:val="nil"/>
              <w:bottom w:val="single" w:sz="4" w:space="0" w:color="auto"/>
              <w:right w:val="single" w:sz="4" w:space="0" w:color="auto"/>
            </w:tcBorders>
            <w:shd w:val="clear" w:color="auto" w:fill="ABD9F8" w:themeFill="accent1" w:themeFillTint="66"/>
            <w:vAlign w:val="center"/>
          </w:tcPr>
          <w:p w:rsidR="001E2C29" w:rsidRDefault="001E2C29" w:rsidP="00DE2792">
            <w:pPr>
              <w:rPr>
                <w:rFonts w:ascii="Calibri" w:hAnsi="Calibri" w:cs="Calibri"/>
              </w:rPr>
            </w:pPr>
            <w:r>
              <w:rPr>
                <w:rFonts w:ascii="Calibri" w:hAnsi="Calibri" w:cs="Calibri"/>
              </w:rPr>
              <w:t>Education; health</w:t>
            </w:r>
          </w:p>
        </w:tc>
        <w:tc>
          <w:tcPr>
            <w:tcW w:w="2665" w:type="dxa"/>
            <w:tcBorders>
              <w:top w:val="single" w:sz="4" w:space="0" w:color="auto"/>
              <w:left w:val="nil"/>
              <w:bottom w:val="single" w:sz="4" w:space="0" w:color="auto"/>
              <w:right w:val="single" w:sz="4" w:space="0" w:color="auto"/>
            </w:tcBorders>
            <w:shd w:val="clear" w:color="auto" w:fill="ABD9F8" w:themeFill="accent1" w:themeFillTint="66"/>
            <w:vAlign w:val="center"/>
          </w:tcPr>
          <w:p w:rsidR="001E2C29" w:rsidRDefault="001E2C29" w:rsidP="00DE2792">
            <w:pPr>
              <w:rPr>
                <w:rFonts w:ascii="Calibri" w:hAnsi="Calibri" w:cs="Calibri"/>
              </w:rPr>
            </w:pPr>
            <w:r>
              <w:rPr>
                <w:rFonts w:ascii="Calibri" w:hAnsi="Calibri" w:cs="Calibri"/>
              </w:rPr>
              <w:t>In 2008, Poitou-Charentes Region launches a European Network for Participatory Democracy following the Citizen Juries</w:t>
            </w:r>
          </w:p>
        </w:tc>
        <w:tc>
          <w:tcPr>
            <w:tcW w:w="2976" w:type="dxa"/>
            <w:shd w:val="clear" w:color="auto" w:fill="ABD9F8" w:themeFill="accent1" w:themeFillTint="66"/>
          </w:tcPr>
          <w:p w:rsidR="001E2C29" w:rsidRPr="00D40E11" w:rsidRDefault="001E2C29" w:rsidP="00DE2792">
            <w:pPr>
              <w:rPr>
                <w:rFonts w:cstheme="minorHAnsi"/>
                <w:sz w:val="20"/>
                <w:szCs w:val="20"/>
              </w:rPr>
            </w:pPr>
            <w:r>
              <w:rPr>
                <w:rFonts w:cstheme="minorHAnsi"/>
                <w:sz w:val="20"/>
                <w:szCs w:val="20"/>
              </w:rPr>
              <w:t>Fletcher (2017)</w:t>
            </w:r>
          </w:p>
        </w:tc>
      </w:tr>
      <w:tr w:rsidR="001E2C29" w:rsidTr="00DE2792">
        <w:tc>
          <w:tcPr>
            <w:tcW w:w="510" w:type="dxa"/>
            <w:vAlign w:val="center"/>
          </w:tcPr>
          <w:p w:rsidR="001E2C29" w:rsidRPr="008709D2" w:rsidRDefault="001E2C29" w:rsidP="00DE2792">
            <w:pPr>
              <w:rPr>
                <w:rFonts w:cstheme="minorHAnsi"/>
                <w:b/>
                <w:i/>
                <w:sz w:val="20"/>
                <w:szCs w:val="20"/>
              </w:rPr>
            </w:pPr>
            <w:r w:rsidRPr="008709D2">
              <w:rPr>
                <w:rFonts w:cstheme="minorHAnsi"/>
                <w:b/>
                <w:i/>
                <w:sz w:val="20"/>
                <w:szCs w:val="20"/>
              </w:rPr>
              <w:t>25</w:t>
            </w:r>
          </w:p>
        </w:tc>
        <w:tc>
          <w:tcPr>
            <w:tcW w:w="3546" w:type="dxa"/>
            <w:tcBorders>
              <w:top w:val="nil"/>
              <w:left w:val="single" w:sz="4" w:space="0" w:color="auto"/>
              <w:bottom w:val="single" w:sz="4" w:space="0" w:color="auto"/>
              <w:right w:val="single" w:sz="4" w:space="0" w:color="auto"/>
            </w:tcBorders>
            <w:shd w:val="clear" w:color="auto" w:fill="auto"/>
            <w:vAlign w:val="center"/>
          </w:tcPr>
          <w:p w:rsidR="001E2C29" w:rsidRDefault="001E2C29" w:rsidP="00DE2792">
            <w:pPr>
              <w:rPr>
                <w:rFonts w:ascii="Calibri" w:hAnsi="Calibri" w:cs="Calibri"/>
              </w:rPr>
            </w:pPr>
            <w:r>
              <w:rPr>
                <w:rFonts w:ascii="Calibri" w:hAnsi="Calibri" w:cs="Calibri"/>
              </w:rPr>
              <w:t>Don't know</w:t>
            </w:r>
          </w:p>
        </w:tc>
        <w:tc>
          <w:tcPr>
            <w:tcW w:w="1502" w:type="dxa"/>
            <w:tcBorders>
              <w:top w:val="nil"/>
              <w:left w:val="nil"/>
              <w:bottom w:val="single" w:sz="4" w:space="0" w:color="auto"/>
              <w:right w:val="single" w:sz="4" w:space="0" w:color="auto"/>
            </w:tcBorders>
            <w:shd w:val="clear" w:color="auto" w:fill="auto"/>
            <w:vAlign w:val="center"/>
          </w:tcPr>
          <w:p w:rsidR="001E2C29" w:rsidRDefault="001E2C29" w:rsidP="00DE2792">
            <w:pPr>
              <w:rPr>
                <w:rFonts w:ascii="Calibri" w:hAnsi="Calibri" w:cs="Calibri"/>
              </w:rPr>
            </w:pPr>
            <w:r>
              <w:rPr>
                <w:rFonts w:ascii="Calibri" w:hAnsi="Calibri" w:cs="Calibri"/>
              </w:rPr>
              <w:t>Health</w:t>
            </w:r>
          </w:p>
        </w:tc>
        <w:tc>
          <w:tcPr>
            <w:tcW w:w="2665" w:type="dxa"/>
            <w:tcBorders>
              <w:top w:val="nil"/>
              <w:left w:val="nil"/>
              <w:bottom w:val="single" w:sz="4" w:space="0" w:color="auto"/>
              <w:right w:val="single" w:sz="4" w:space="0" w:color="auto"/>
            </w:tcBorders>
            <w:shd w:val="clear" w:color="auto" w:fill="auto"/>
            <w:vAlign w:val="center"/>
          </w:tcPr>
          <w:p w:rsidR="001E2C29" w:rsidRDefault="001E2C29" w:rsidP="00DE2792">
            <w:pPr>
              <w:rPr>
                <w:rFonts w:ascii="Calibri" w:hAnsi="Calibri" w:cs="Calibri"/>
              </w:rPr>
            </w:pPr>
            <w:r>
              <w:rPr>
                <w:rFonts w:ascii="Calibri" w:hAnsi="Calibri" w:cs="Calibri"/>
              </w:rPr>
              <w:t>No influence</w:t>
            </w:r>
          </w:p>
        </w:tc>
        <w:tc>
          <w:tcPr>
            <w:tcW w:w="2976" w:type="dxa"/>
          </w:tcPr>
          <w:p w:rsidR="001E2C29" w:rsidRPr="00D40E11" w:rsidRDefault="001E2C29" w:rsidP="00DE2792">
            <w:pPr>
              <w:rPr>
                <w:rFonts w:cstheme="minorHAnsi"/>
                <w:sz w:val="20"/>
                <w:szCs w:val="20"/>
              </w:rPr>
            </w:pPr>
            <w:proofErr w:type="spellStart"/>
            <w:r>
              <w:rPr>
                <w:rFonts w:cstheme="minorHAnsi"/>
                <w:sz w:val="20"/>
                <w:szCs w:val="20"/>
              </w:rPr>
              <w:t>Neilsen</w:t>
            </w:r>
            <w:proofErr w:type="spellEnd"/>
            <w:r>
              <w:rPr>
                <w:rFonts w:cstheme="minorHAnsi"/>
                <w:sz w:val="20"/>
                <w:szCs w:val="20"/>
              </w:rPr>
              <w:t xml:space="preserve"> et al. (2007); Tucker (2008); </w:t>
            </w:r>
            <w:proofErr w:type="spellStart"/>
            <w:r>
              <w:rPr>
                <w:rFonts w:cstheme="minorHAnsi"/>
                <w:sz w:val="20"/>
                <w:szCs w:val="20"/>
              </w:rPr>
              <w:t>Lemaire</w:t>
            </w:r>
            <w:proofErr w:type="spellEnd"/>
            <w:r>
              <w:rPr>
                <w:rFonts w:cstheme="minorHAnsi"/>
                <w:sz w:val="20"/>
                <w:szCs w:val="20"/>
              </w:rPr>
              <w:t xml:space="preserve"> et al. (2010)</w:t>
            </w:r>
          </w:p>
        </w:tc>
      </w:tr>
      <w:tr w:rsidR="001E2C29" w:rsidTr="00DE2792">
        <w:tc>
          <w:tcPr>
            <w:tcW w:w="510" w:type="dxa"/>
            <w:shd w:val="clear" w:color="auto" w:fill="ABD9F8" w:themeFill="accent1" w:themeFillTint="66"/>
            <w:vAlign w:val="center"/>
          </w:tcPr>
          <w:p w:rsidR="001E2C29" w:rsidRPr="008709D2" w:rsidRDefault="001E2C29" w:rsidP="00DE2792">
            <w:pPr>
              <w:rPr>
                <w:rFonts w:cstheme="minorHAnsi"/>
                <w:b/>
                <w:i/>
                <w:sz w:val="20"/>
                <w:szCs w:val="20"/>
              </w:rPr>
            </w:pPr>
            <w:r w:rsidRPr="008709D2">
              <w:rPr>
                <w:rFonts w:cstheme="minorHAnsi"/>
                <w:b/>
                <w:i/>
                <w:sz w:val="20"/>
                <w:szCs w:val="20"/>
              </w:rPr>
              <w:t>26</w:t>
            </w:r>
          </w:p>
        </w:tc>
        <w:tc>
          <w:tcPr>
            <w:tcW w:w="3546" w:type="dxa"/>
            <w:tcBorders>
              <w:top w:val="nil"/>
              <w:left w:val="single" w:sz="4" w:space="0" w:color="auto"/>
              <w:bottom w:val="single" w:sz="4" w:space="0" w:color="auto"/>
              <w:right w:val="single" w:sz="4" w:space="0" w:color="auto"/>
            </w:tcBorders>
            <w:shd w:val="clear" w:color="auto" w:fill="ABD9F8" w:themeFill="accent1" w:themeFillTint="66"/>
            <w:vAlign w:val="center"/>
          </w:tcPr>
          <w:p w:rsidR="001E2C29" w:rsidRDefault="001E2C29" w:rsidP="00DE2792">
            <w:pPr>
              <w:rPr>
                <w:rFonts w:ascii="Calibri" w:hAnsi="Calibri" w:cs="Calibri"/>
              </w:rPr>
            </w:pPr>
            <w:r>
              <w:rPr>
                <w:rFonts w:ascii="Calibri" w:hAnsi="Calibri" w:cs="Calibri"/>
              </w:rPr>
              <w:t>Don't know</w:t>
            </w:r>
          </w:p>
        </w:tc>
        <w:tc>
          <w:tcPr>
            <w:tcW w:w="1502" w:type="dxa"/>
            <w:tcBorders>
              <w:top w:val="nil"/>
              <w:left w:val="nil"/>
              <w:bottom w:val="single" w:sz="4" w:space="0" w:color="auto"/>
              <w:right w:val="single" w:sz="4" w:space="0" w:color="auto"/>
            </w:tcBorders>
            <w:shd w:val="clear" w:color="auto" w:fill="ABD9F8" w:themeFill="accent1" w:themeFillTint="66"/>
            <w:vAlign w:val="center"/>
          </w:tcPr>
          <w:p w:rsidR="001E2C29" w:rsidRDefault="001E2C29" w:rsidP="00DE2792">
            <w:pPr>
              <w:rPr>
                <w:rFonts w:ascii="Calibri" w:hAnsi="Calibri" w:cs="Calibri"/>
              </w:rPr>
            </w:pPr>
            <w:r>
              <w:rPr>
                <w:rFonts w:ascii="Calibri" w:hAnsi="Calibri" w:cs="Calibri"/>
              </w:rPr>
              <w:t>Health</w:t>
            </w:r>
          </w:p>
        </w:tc>
        <w:tc>
          <w:tcPr>
            <w:tcW w:w="2665" w:type="dxa"/>
            <w:tcBorders>
              <w:top w:val="nil"/>
              <w:left w:val="nil"/>
              <w:bottom w:val="single" w:sz="4" w:space="0" w:color="auto"/>
              <w:right w:val="single" w:sz="4" w:space="0" w:color="auto"/>
            </w:tcBorders>
            <w:shd w:val="clear" w:color="auto" w:fill="ABD9F8" w:themeFill="accent1" w:themeFillTint="66"/>
            <w:vAlign w:val="center"/>
          </w:tcPr>
          <w:p w:rsidR="001E2C29" w:rsidRDefault="001E2C29" w:rsidP="00DE2792">
            <w:pPr>
              <w:rPr>
                <w:rFonts w:ascii="Calibri" w:hAnsi="Calibri" w:cs="Calibri"/>
              </w:rPr>
            </w:pPr>
            <w:r>
              <w:rPr>
                <w:rFonts w:ascii="Calibri" w:hAnsi="Calibri" w:cs="Calibri"/>
              </w:rPr>
              <w:t>Don't know</w:t>
            </w:r>
          </w:p>
        </w:tc>
        <w:tc>
          <w:tcPr>
            <w:tcW w:w="2976" w:type="dxa"/>
            <w:shd w:val="clear" w:color="auto" w:fill="ABD9F8" w:themeFill="accent1" w:themeFillTint="66"/>
          </w:tcPr>
          <w:p w:rsidR="001E2C29" w:rsidRPr="00D40E11" w:rsidRDefault="001E2C29" w:rsidP="00DE2792">
            <w:pPr>
              <w:rPr>
                <w:rFonts w:cstheme="minorHAnsi"/>
                <w:sz w:val="20"/>
                <w:szCs w:val="20"/>
              </w:rPr>
            </w:pPr>
            <w:r>
              <w:rPr>
                <w:rFonts w:cstheme="minorHAnsi"/>
                <w:sz w:val="20"/>
                <w:szCs w:val="20"/>
              </w:rPr>
              <w:t>Weill &amp; Banta</w:t>
            </w:r>
            <w:r w:rsidRPr="00F9563E">
              <w:rPr>
                <w:rFonts w:cstheme="minorHAnsi"/>
                <w:sz w:val="20"/>
                <w:szCs w:val="20"/>
              </w:rPr>
              <w:t xml:space="preserve"> (2009)</w:t>
            </w:r>
          </w:p>
        </w:tc>
      </w:tr>
      <w:tr w:rsidR="001E2C29" w:rsidTr="00DE2792">
        <w:tc>
          <w:tcPr>
            <w:tcW w:w="510" w:type="dxa"/>
            <w:vAlign w:val="center"/>
          </w:tcPr>
          <w:p w:rsidR="001E2C29" w:rsidRPr="008709D2" w:rsidRDefault="001E2C29" w:rsidP="00DE2792">
            <w:pPr>
              <w:rPr>
                <w:rFonts w:cstheme="minorHAnsi"/>
                <w:b/>
                <w:i/>
                <w:sz w:val="20"/>
                <w:szCs w:val="20"/>
              </w:rPr>
            </w:pPr>
            <w:r w:rsidRPr="008709D2">
              <w:rPr>
                <w:rFonts w:cstheme="minorHAnsi"/>
                <w:b/>
                <w:i/>
                <w:sz w:val="20"/>
                <w:szCs w:val="20"/>
              </w:rPr>
              <w:t>27</w:t>
            </w:r>
          </w:p>
        </w:tc>
        <w:tc>
          <w:tcPr>
            <w:tcW w:w="3546" w:type="dxa"/>
            <w:tcBorders>
              <w:top w:val="nil"/>
              <w:left w:val="single" w:sz="4" w:space="0" w:color="auto"/>
              <w:bottom w:val="single" w:sz="4" w:space="0" w:color="auto"/>
              <w:right w:val="single" w:sz="4" w:space="0" w:color="auto"/>
            </w:tcBorders>
            <w:shd w:val="clear" w:color="auto" w:fill="auto"/>
            <w:vAlign w:val="center"/>
          </w:tcPr>
          <w:p w:rsidR="001E2C29" w:rsidRDefault="001E2C29" w:rsidP="00DE2792">
            <w:pPr>
              <w:rPr>
                <w:rFonts w:ascii="Calibri" w:hAnsi="Calibri" w:cs="Calibri"/>
              </w:rPr>
            </w:pPr>
            <w:r>
              <w:rPr>
                <w:rFonts w:ascii="Calibri" w:hAnsi="Calibri" w:cs="Calibri"/>
              </w:rPr>
              <w:t>Don't know</w:t>
            </w:r>
          </w:p>
        </w:tc>
        <w:tc>
          <w:tcPr>
            <w:tcW w:w="1502" w:type="dxa"/>
            <w:tcBorders>
              <w:top w:val="nil"/>
              <w:left w:val="nil"/>
              <w:bottom w:val="single" w:sz="4" w:space="0" w:color="auto"/>
              <w:right w:val="single" w:sz="4" w:space="0" w:color="auto"/>
            </w:tcBorders>
            <w:shd w:val="clear" w:color="auto" w:fill="auto"/>
            <w:vAlign w:val="center"/>
          </w:tcPr>
          <w:p w:rsidR="001E2C29" w:rsidRDefault="001E2C29" w:rsidP="00DE2792">
            <w:pPr>
              <w:rPr>
                <w:rFonts w:ascii="Calibri" w:hAnsi="Calibri" w:cs="Calibri"/>
              </w:rPr>
            </w:pPr>
            <w:r>
              <w:rPr>
                <w:rFonts w:ascii="Calibri" w:hAnsi="Calibri" w:cs="Calibri"/>
              </w:rPr>
              <w:t>Health</w:t>
            </w:r>
          </w:p>
        </w:tc>
        <w:tc>
          <w:tcPr>
            <w:tcW w:w="2665" w:type="dxa"/>
            <w:tcBorders>
              <w:top w:val="nil"/>
              <w:left w:val="nil"/>
              <w:bottom w:val="single" w:sz="4" w:space="0" w:color="auto"/>
              <w:right w:val="single" w:sz="4" w:space="0" w:color="auto"/>
            </w:tcBorders>
            <w:shd w:val="clear" w:color="auto" w:fill="auto"/>
            <w:vAlign w:val="center"/>
          </w:tcPr>
          <w:p w:rsidR="001E2C29" w:rsidRDefault="001E2C29" w:rsidP="00DE2792">
            <w:pPr>
              <w:rPr>
                <w:rFonts w:ascii="Calibri" w:hAnsi="Calibri" w:cs="Calibri"/>
              </w:rPr>
            </w:pPr>
            <w:r>
              <w:rPr>
                <w:rFonts w:ascii="Calibri" w:hAnsi="Calibri" w:cs="Calibri"/>
              </w:rPr>
              <w:t>Don't know</w:t>
            </w:r>
          </w:p>
        </w:tc>
        <w:tc>
          <w:tcPr>
            <w:tcW w:w="2976" w:type="dxa"/>
          </w:tcPr>
          <w:p w:rsidR="001E2C29" w:rsidRPr="00D40E11" w:rsidRDefault="001E2C29" w:rsidP="00DE2792">
            <w:pPr>
              <w:rPr>
                <w:rFonts w:cstheme="minorHAnsi"/>
                <w:sz w:val="20"/>
                <w:szCs w:val="20"/>
              </w:rPr>
            </w:pPr>
            <w:r w:rsidRPr="00F9563E">
              <w:rPr>
                <w:rFonts w:cstheme="minorHAnsi"/>
                <w:sz w:val="20"/>
                <w:szCs w:val="20"/>
              </w:rPr>
              <w:t>Salmon-</w:t>
            </w:r>
            <w:proofErr w:type="spellStart"/>
            <w:r w:rsidRPr="00F9563E">
              <w:rPr>
                <w:rFonts w:cstheme="minorHAnsi"/>
                <w:sz w:val="20"/>
                <w:szCs w:val="20"/>
              </w:rPr>
              <w:t>Ceron</w:t>
            </w:r>
            <w:proofErr w:type="spellEnd"/>
            <w:r>
              <w:rPr>
                <w:rFonts w:cstheme="minorHAnsi"/>
                <w:sz w:val="20"/>
                <w:szCs w:val="20"/>
              </w:rPr>
              <w:t xml:space="preserve"> et al. (2012)</w:t>
            </w:r>
          </w:p>
        </w:tc>
      </w:tr>
      <w:tr w:rsidR="001E2C29" w:rsidTr="00DE2792">
        <w:tc>
          <w:tcPr>
            <w:tcW w:w="510" w:type="dxa"/>
            <w:shd w:val="clear" w:color="auto" w:fill="ABD9F8" w:themeFill="accent1" w:themeFillTint="66"/>
            <w:vAlign w:val="center"/>
          </w:tcPr>
          <w:p w:rsidR="001E2C29" w:rsidRPr="008709D2" w:rsidRDefault="001E2C29" w:rsidP="00DE2792">
            <w:pPr>
              <w:rPr>
                <w:rFonts w:cstheme="minorHAnsi"/>
                <w:b/>
                <w:i/>
                <w:sz w:val="20"/>
                <w:szCs w:val="20"/>
              </w:rPr>
            </w:pPr>
            <w:r w:rsidRPr="008709D2">
              <w:rPr>
                <w:rFonts w:cstheme="minorHAnsi"/>
                <w:b/>
                <w:i/>
                <w:sz w:val="20"/>
                <w:szCs w:val="20"/>
              </w:rPr>
              <w:t>28</w:t>
            </w:r>
          </w:p>
        </w:tc>
        <w:tc>
          <w:tcPr>
            <w:tcW w:w="3546" w:type="dxa"/>
            <w:tcBorders>
              <w:top w:val="nil"/>
              <w:left w:val="single" w:sz="4" w:space="0" w:color="auto"/>
              <w:bottom w:val="single" w:sz="4" w:space="0" w:color="auto"/>
              <w:right w:val="single" w:sz="4" w:space="0" w:color="auto"/>
            </w:tcBorders>
            <w:shd w:val="clear" w:color="auto" w:fill="ABD9F8" w:themeFill="accent1" w:themeFillTint="66"/>
            <w:vAlign w:val="center"/>
          </w:tcPr>
          <w:p w:rsidR="001E2C29" w:rsidRDefault="001E2C29" w:rsidP="00DE2792">
            <w:pPr>
              <w:rPr>
                <w:rFonts w:ascii="Calibri" w:hAnsi="Calibri" w:cs="Calibri"/>
              </w:rPr>
            </w:pPr>
            <w:r>
              <w:rPr>
                <w:rFonts w:ascii="Calibri" w:hAnsi="Calibri" w:cs="Calibri"/>
              </w:rPr>
              <w:t>Don't know</w:t>
            </w:r>
          </w:p>
        </w:tc>
        <w:tc>
          <w:tcPr>
            <w:tcW w:w="1502" w:type="dxa"/>
            <w:tcBorders>
              <w:top w:val="nil"/>
              <w:left w:val="nil"/>
              <w:bottom w:val="single" w:sz="4" w:space="0" w:color="auto"/>
              <w:right w:val="single" w:sz="4" w:space="0" w:color="auto"/>
            </w:tcBorders>
            <w:shd w:val="clear" w:color="auto" w:fill="ABD9F8" w:themeFill="accent1" w:themeFillTint="66"/>
            <w:vAlign w:val="center"/>
          </w:tcPr>
          <w:p w:rsidR="001E2C29" w:rsidRDefault="001E2C29" w:rsidP="00DE2792">
            <w:pPr>
              <w:rPr>
                <w:rFonts w:ascii="Calibri" w:hAnsi="Calibri" w:cs="Calibri"/>
              </w:rPr>
            </w:pPr>
            <w:r>
              <w:rPr>
                <w:rFonts w:ascii="Calibri" w:hAnsi="Calibri" w:cs="Calibri"/>
              </w:rPr>
              <w:t>Health</w:t>
            </w:r>
          </w:p>
        </w:tc>
        <w:tc>
          <w:tcPr>
            <w:tcW w:w="2665" w:type="dxa"/>
            <w:tcBorders>
              <w:top w:val="nil"/>
              <w:left w:val="nil"/>
              <w:bottom w:val="single" w:sz="4" w:space="0" w:color="auto"/>
              <w:right w:val="single" w:sz="4" w:space="0" w:color="auto"/>
            </w:tcBorders>
            <w:shd w:val="clear" w:color="auto" w:fill="ABD9F8" w:themeFill="accent1" w:themeFillTint="66"/>
            <w:vAlign w:val="center"/>
          </w:tcPr>
          <w:p w:rsidR="001E2C29" w:rsidRDefault="001E2C29" w:rsidP="00DE2792">
            <w:pPr>
              <w:rPr>
                <w:rFonts w:ascii="Calibri" w:hAnsi="Calibri" w:cs="Calibri"/>
              </w:rPr>
            </w:pPr>
            <w:r>
              <w:rPr>
                <w:rFonts w:ascii="Calibri" w:hAnsi="Calibri" w:cs="Calibri"/>
              </w:rPr>
              <w:t>Don't know</w:t>
            </w:r>
          </w:p>
        </w:tc>
        <w:tc>
          <w:tcPr>
            <w:tcW w:w="2976" w:type="dxa"/>
            <w:shd w:val="clear" w:color="auto" w:fill="ABD9F8" w:themeFill="accent1" w:themeFillTint="66"/>
          </w:tcPr>
          <w:p w:rsidR="001E2C29" w:rsidRPr="00D40E11" w:rsidRDefault="001E2C29" w:rsidP="00DE2792">
            <w:pPr>
              <w:rPr>
                <w:rFonts w:cstheme="minorHAnsi"/>
                <w:sz w:val="20"/>
                <w:szCs w:val="20"/>
              </w:rPr>
            </w:pPr>
            <w:proofErr w:type="spellStart"/>
            <w:r>
              <w:rPr>
                <w:rFonts w:cstheme="minorHAnsi"/>
                <w:sz w:val="20"/>
                <w:szCs w:val="20"/>
              </w:rPr>
              <w:t>Arbus</w:t>
            </w:r>
            <w:proofErr w:type="spellEnd"/>
            <w:r>
              <w:rPr>
                <w:rFonts w:cstheme="minorHAnsi"/>
                <w:sz w:val="20"/>
                <w:szCs w:val="20"/>
              </w:rPr>
              <w:t xml:space="preserve"> et al. (2012)</w:t>
            </w:r>
          </w:p>
        </w:tc>
      </w:tr>
      <w:tr w:rsidR="001E2C29" w:rsidTr="00DE2792">
        <w:tc>
          <w:tcPr>
            <w:tcW w:w="510" w:type="dxa"/>
            <w:vAlign w:val="center"/>
          </w:tcPr>
          <w:p w:rsidR="001E2C29" w:rsidRPr="008709D2" w:rsidRDefault="001E2C29" w:rsidP="00DE2792">
            <w:pPr>
              <w:rPr>
                <w:rFonts w:cstheme="minorHAnsi"/>
                <w:b/>
                <w:i/>
                <w:sz w:val="20"/>
                <w:szCs w:val="20"/>
              </w:rPr>
            </w:pPr>
            <w:r w:rsidRPr="008709D2">
              <w:rPr>
                <w:rFonts w:cstheme="minorHAnsi"/>
                <w:b/>
                <w:i/>
                <w:sz w:val="20"/>
                <w:szCs w:val="20"/>
              </w:rPr>
              <w:t>29</w:t>
            </w:r>
          </w:p>
        </w:tc>
        <w:tc>
          <w:tcPr>
            <w:tcW w:w="3546" w:type="dxa"/>
            <w:tcBorders>
              <w:top w:val="nil"/>
              <w:left w:val="single" w:sz="4" w:space="0" w:color="auto"/>
              <w:bottom w:val="single" w:sz="4" w:space="0" w:color="auto"/>
              <w:right w:val="single" w:sz="4" w:space="0" w:color="auto"/>
            </w:tcBorders>
            <w:shd w:val="clear" w:color="auto" w:fill="auto"/>
            <w:vAlign w:val="center"/>
          </w:tcPr>
          <w:p w:rsidR="001E2C29" w:rsidRDefault="001E2C29" w:rsidP="00DE2792">
            <w:pPr>
              <w:rPr>
                <w:rFonts w:ascii="Calibri" w:hAnsi="Calibri" w:cs="Calibri"/>
              </w:rPr>
            </w:pPr>
            <w:r>
              <w:rPr>
                <w:rFonts w:ascii="Calibri" w:hAnsi="Calibri" w:cs="Calibri"/>
              </w:rPr>
              <w:t>Don't know</w:t>
            </w:r>
          </w:p>
        </w:tc>
        <w:tc>
          <w:tcPr>
            <w:tcW w:w="1502" w:type="dxa"/>
            <w:tcBorders>
              <w:top w:val="nil"/>
              <w:left w:val="nil"/>
              <w:bottom w:val="single" w:sz="4" w:space="0" w:color="auto"/>
              <w:right w:val="single" w:sz="4" w:space="0" w:color="auto"/>
            </w:tcBorders>
            <w:shd w:val="clear" w:color="auto" w:fill="auto"/>
            <w:vAlign w:val="center"/>
          </w:tcPr>
          <w:p w:rsidR="001E2C29" w:rsidRDefault="001E2C29" w:rsidP="00DE2792">
            <w:pPr>
              <w:rPr>
                <w:rFonts w:ascii="Calibri" w:hAnsi="Calibri" w:cs="Calibri"/>
              </w:rPr>
            </w:pPr>
            <w:r>
              <w:rPr>
                <w:rFonts w:ascii="Calibri" w:hAnsi="Calibri" w:cs="Calibri"/>
              </w:rPr>
              <w:t>Education</w:t>
            </w:r>
          </w:p>
        </w:tc>
        <w:tc>
          <w:tcPr>
            <w:tcW w:w="2665" w:type="dxa"/>
            <w:tcBorders>
              <w:top w:val="nil"/>
              <w:left w:val="nil"/>
              <w:bottom w:val="single" w:sz="4" w:space="0" w:color="auto"/>
              <w:right w:val="single" w:sz="4" w:space="0" w:color="auto"/>
            </w:tcBorders>
            <w:shd w:val="clear" w:color="auto" w:fill="auto"/>
            <w:vAlign w:val="center"/>
          </w:tcPr>
          <w:p w:rsidR="001E2C29" w:rsidRDefault="001E2C29" w:rsidP="00DE2792">
            <w:pPr>
              <w:rPr>
                <w:rFonts w:ascii="Calibri" w:hAnsi="Calibri" w:cs="Calibri"/>
              </w:rPr>
            </w:pPr>
            <w:r>
              <w:rPr>
                <w:rFonts w:ascii="Calibri" w:hAnsi="Calibri" w:cs="Calibri"/>
              </w:rPr>
              <w:t>Don't know</w:t>
            </w:r>
          </w:p>
        </w:tc>
        <w:tc>
          <w:tcPr>
            <w:tcW w:w="2976" w:type="dxa"/>
          </w:tcPr>
          <w:p w:rsidR="001E2C29" w:rsidRPr="00D40E11" w:rsidRDefault="001E2C29" w:rsidP="00DE2792">
            <w:pPr>
              <w:rPr>
                <w:rFonts w:cstheme="minorHAnsi"/>
                <w:sz w:val="20"/>
                <w:szCs w:val="20"/>
              </w:rPr>
            </w:pPr>
            <w:r>
              <w:rPr>
                <w:rFonts w:cstheme="minorHAnsi"/>
                <w:sz w:val="20"/>
                <w:szCs w:val="20"/>
              </w:rPr>
              <w:t xml:space="preserve">Rey &amp; </w:t>
            </w:r>
            <w:proofErr w:type="spellStart"/>
            <w:r>
              <w:rPr>
                <w:rFonts w:cstheme="minorHAnsi"/>
                <w:sz w:val="20"/>
                <w:szCs w:val="20"/>
              </w:rPr>
              <w:t>Gaussel</w:t>
            </w:r>
            <w:proofErr w:type="spellEnd"/>
            <w:r>
              <w:rPr>
                <w:rFonts w:cstheme="minorHAnsi"/>
                <w:sz w:val="20"/>
                <w:szCs w:val="20"/>
              </w:rPr>
              <w:t xml:space="preserve"> </w:t>
            </w:r>
            <w:r w:rsidRPr="00F9563E">
              <w:rPr>
                <w:rFonts w:cstheme="minorHAnsi"/>
                <w:sz w:val="20"/>
                <w:szCs w:val="20"/>
              </w:rPr>
              <w:t>(2016)</w:t>
            </w:r>
          </w:p>
        </w:tc>
      </w:tr>
    </w:tbl>
    <w:p w:rsidR="00207268" w:rsidRPr="00207268" w:rsidRDefault="00207268" w:rsidP="00207268">
      <w:pPr>
        <w:ind w:left="720"/>
        <w:rPr>
          <w:i/>
          <w:sz w:val="24"/>
          <w:szCs w:val="24"/>
          <w:lang w:val="it-IT"/>
        </w:rPr>
      </w:pPr>
    </w:p>
    <w:p w:rsidR="001D39E7" w:rsidRPr="00665371" w:rsidRDefault="001D39E7" w:rsidP="001D39E7">
      <w:pPr>
        <w:numPr>
          <w:ilvl w:val="0"/>
          <w:numId w:val="12"/>
        </w:numPr>
        <w:rPr>
          <w:b/>
          <w:i/>
          <w:color w:val="0B5484" w:themeColor="accent1" w:themeShade="80"/>
          <w:sz w:val="24"/>
          <w:szCs w:val="24"/>
          <w:lang w:val="it-IT"/>
        </w:rPr>
      </w:pPr>
      <w:r w:rsidRPr="00665371">
        <w:rPr>
          <w:b/>
          <w:i/>
          <w:color w:val="0B5484" w:themeColor="accent1" w:themeShade="80"/>
          <w:sz w:val="24"/>
          <w:szCs w:val="24"/>
        </w:rPr>
        <w:t>Are there any trends across the cases in each country that suggest certain types of social policy and practice are more open to evidence synthesised by mini-publics than others?</w:t>
      </w:r>
    </w:p>
    <w:p w:rsidR="001D39E7" w:rsidRPr="001D39E7" w:rsidRDefault="001D39E7" w:rsidP="00207268">
      <w:pPr>
        <w:jc w:val="both"/>
        <w:rPr>
          <w:i/>
          <w:sz w:val="24"/>
          <w:szCs w:val="24"/>
          <w:lang w:val="it-IT"/>
        </w:rPr>
      </w:pPr>
      <w:r w:rsidRPr="001D39E7">
        <w:rPr>
          <w:sz w:val="24"/>
          <w:szCs w:val="24"/>
          <w:lang w:val="it-IT"/>
        </w:rPr>
        <w:t>In France, the mini publics spanned different policy areas: health, social benefit</w:t>
      </w:r>
      <w:r w:rsidR="00665371">
        <w:rPr>
          <w:sz w:val="24"/>
          <w:szCs w:val="24"/>
          <w:lang w:val="it-IT"/>
        </w:rPr>
        <w:t>s</w:t>
      </w:r>
      <w:r w:rsidRPr="001D39E7">
        <w:rPr>
          <w:sz w:val="24"/>
          <w:szCs w:val="24"/>
          <w:lang w:val="it-IT"/>
        </w:rPr>
        <w:t>, and education. However, there is a lac</w:t>
      </w:r>
      <w:r w:rsidR="00665371">
        <w:rPr>
          <w:sz w:val="24"/>
          <w:szCs w:val="24"/>
          <w:lang w:val="it-IT"/>
        </w:rPr>
        <w:t>k of research into how the mini-</w:t>
      </w:r>
      <w:r w:rsidRPr="001D39E7">
        <w:rPr>
          <w:sz w:val="24"/>
          <w:szCs w:val="24"/>
          <w:lang w:val="it-IT"/>
        </w:rPr>
        <w:t>publics used – Citizens’ Jurys and Consensus Conferences -  influenced policy and practice or how cititzens were influenced by the evidence presented.</w:t>
      </w:r>
    </w:p>
    <w:tbl>
      <w:tblPr>
        <w:tblStyle w:val="TableGrid"/>
        <w:tblW w:w="0" w:type="auto"/>
        <w:shd w:val="clear" w:color="auto" w:fill="ABD9F8" w:themeFill="accent1" w:themeFillTint="66"/>
        <w:tblLook w:val="04A0" w:firstRow="1" w:lastRow="0" w:firstColumn="1" w:lastColumn="0" w:noHBand="0" w:noVBand="1"/>
      </w:tblPr>
      <w:tblGrid>
        <w:gridCol w:w="9016"/>
      </w:tblGrid>
      <w:tr w:rsidR="002A6106" w:rsidTr="00DE2792">
        <w:tc>
          <w:tcPr>
            <w:tcW w:w="9016" w:type="dxa"/>
            <w:shd w:val="clear" w:color="auto" w:fill="ABD9F8" w:themeFill="accent1" w:themeFillTint="66"/>
          </w:tcPr>
          <w:p w:rsidR="002A6106" w:rsidRPr="00543D99" w:rsidRDefault="002A6106" w:rsidP="00DE2792">
            <w:pPr>
              <w:jc w:val="both"/>
              <w:rPr>
                <w:b/>
                <w:sz w:val="28"/>
                <w:szCs w:val="28"/>
              </w:rPr>
            </w:pPr>
            <w:r w:rsidRPr="00543D99">
              <w:rPr>
                <w:b/>
                <w:sz w:val="28"/>
                <w:szCs w:val="28"/>
              </w:rPr>
              <w:t>Consensus Conference on Teaching and Learning, Paris, 2015</w:t>
            </w:r>
          </w:p>
          <w:p w:rsidR="002A6106" w:rsidRDefault="002A6106" w:rsidP="00DE2792">
            <w:pPr>
              <w:jc w:val="both"/>
              <w:rPr>
                <w:b/>
              </w:rPr>
            </w:pPr>
          </w:p>
          <w:p w:rsidR="002A6106" w:rsidRDefault="002A6106" w:rsidP="00DE2792">
            <w:pPr>
              <w:jc w:val="both"/>
              <w:rPr>
                <w:b/>
              </w:rPr>
            </w:pPr>
            <w:r>
              <w:rPr>
                <w:b/>
              </w:rPr>
              <w:t>Background</w:t>
            </w:r>
          </w:p>
          <w:p w:rsidR="002A6106" w:rsidRDefault="002A6106" w:rsidP="00DE2792">
            <w:pPr>
              <w:jc w:val="both"/>
              <w:rPr>
                <w:rFonts w:ascii="Calibri" w:eastAsia="Times New Roman" w:hAnsi="Calibri" w:cs="Calibri"/>
                <w:color w:val="000000"/>
                <w:lang w:eastAsia="en-GB"/>
              </w:rPr>
            </w:pPr>
            <w:r w:rsidRPr="0026652F">
              <w:t xml:space="preserve">In January 2015, a Consensus Conference on teaching and learning was held in Paris. </w:t>
            </w:r>
            <w:r>
              <w:t xml:space="preserve">It was convened by the French Institute of Education through its National Council for School System Evaluation (CNESCO). The Consensus Conference focussed on the issue of grade retention (repeating the year) </w:t>
            </w:r>
            <w:r w:rsidRPr="0026652F">
              <w:t xml:space="preserve">(Rey &amp; </w:t>
            </w:r>
            <w:proofErr w:type="spellStart"/>
            <w:r w:rsidRPr="0026652F">
              <w:t>Gaussel</w:t>
            </w:r>
            <w:proofErr w:type="spellEnd"/>
            <w:r w:rsidRPr="0026652F">
              <w:t xml:space="preserve"> 2016). </w:t>
            </w:r>
            <w:r>
              <w:t xml:space="preserve"> The event lasted three days and was held in a high school. The jury panel was comprised of twenty-five educational stakeholders, including teachers, head teachers, inspectors, and parents </w:t>
            </w:r>
            <w:r w:rsidRPr="0026652F">
              <w:t xml:space="preserve">(Rey &amp; </w:t>
            </w:r>
            <w:proofErr w:type="spellStart"/>
            <w:r w:rsidRPr="0026652F">
              <w:t>Gaussel</w:t>
            </w:r>
            <w:proofErr w:type="spellEnd"/>
            <w:r w:rsidRPr="0026652F">
              <w:t xml:space="preserve"> 2016)</w:t>
            </w:r>
            <w:r>
              <w:t xml:space="preserve">. </w:t>
            </w:r>
            <w:r>
              <w:rPr>
                <w:rFonts w:ascii="Calibri" w:eastAsia="Times New Roman" w:hAnsi="Calibri" w:cs="Calibri"/>
                <w:color w:val="000000"/>
                <w:lang w:eastAsia="en-GB"/>
              </w:rPr>
              <w:t xml:space="preserve">It is not clear how they were recruited and selected. </w:t>
            </w:r>
          </w:p>
          <w:p w:rsidR="002A6106" w:rsidRPr="0026652F" w:rsidRDefault="002A6106" w:rsidP="00DE2792">
            <w:pPr>
              <w:jc w:val="both"/>
            </w:pPr>
          </w:p>
          <w:p w:rsidR="002A6106" w:rsidRDefault="002A6106" w:rsidP="00DE2792">
            <w:pPr>
              <w:jc w:val="both"/>
              <w:rPr>
                <w:b/>
              </w:rPr>
            </w:pPr>
            <w:r>
              <w:rPr>
                <w:b/>
              </w:rPr>
              <w:t xml:space="preserve">Use of Witnesses </w:t>
            </w:r>
          </w:p>
          <w:p w:rsidR="002A6106" w:rsidRPr="00D51AF4" w:rsidRDefault="002A6106" w:rsidP="00DE2792">
            <w:pPr>
              <w:jc w:val="both"/>
              <w:rPr>
                <w:rFonts w:ascii="Calibri" w:eastAsia="Times New Roman" w:hAnsi="Calibri" w:cs="Calibri"/>
                <w:color w:val="000000"/>
                <w:lang w:eastAsia="en-GB"/>
              </w:rPr>
            </w:pPr>
            <w:r>
              <w:rPr>
                <w:rFonts w:ascii="Calibri" w:eastAsia="Times New Roman" w:hAnsi="Calibri" w:cs="Calibri"/>
                <w:color w:val="000000"/>
                <w:lang w:eastAsia="en-GB"/>
              </w:rPr>
              <w:t>The witnesses were comprised of 15</w:t>
            </w:r>
            <w:r w:rsidRPr="0026652F">
              <w:rPr>
                <w:rFonts w:ascii="Calibri" w:eastAsia="Times New Roman" w:hAnsi="Calibri" w:cs="Calibri"/>
                <w:color w:val="000000"/>
                <w:lang w:eastAsia="en-GB"/>
              </w:rPr>
              <w:t xml:space="preserve"> expert scholars</w:t>
            </w:r>
            <w:r>
              <w:rPr>
                <w:rFonts w:ascii="Calibri" w:eastAsia="Times New Roman" w:hAnsi="Calibri" w:cs="Calibri"/>
                <w:color w:val="000000"/>
                <w:lang w:eastAsia="en-GB"/>
              </w:rPr>
              <w:t>, experts from the educational system (i.e. principals) and from institutions, such as the EU and French Ministries. The expert scholars</w:t>
            </w:r>
            <w:r w:rsidRPr="0026652F">
              <w:rPr>
                <w:rFonts w:ascii="Calibri" w:eastAsia="Times New Roman" w:hAnsi="Calibri" w:cs="Calibri"/>
                <w:color w:val="000000"/>
                <w:lang w:eastAsia="en-GB"/>
              </w:rPr>
              <w:t xml:space="preserve"> contribute</w:t>
            </w:r>
            <w:r>
              <w:rPr>
                <w:rFonts w:ascii="Calibri" w:eastAsia="Times New Roman" w:hAnsi="Calibri" w:cs="Calibri"/>
                <w:color w:val="000000"/>
                <w:lang w:eastAsia="en-GB"/>
              </w:rPr>
              <w:t>d</w:t>
            </w:r>
            <w:r w:rsidRPr="0026652F">
              <w:rPr>
                <w:rFonts w:ascii="Calibri" w:eastAsia="Times New Roman" w:hAnsi="Calibri" w:cs="Calibri"/>
                <w:color w:val="000000"/>
                <w:lang w:eastAsia="en-GB"/>
              </w:rPr>
              <w:t xml:space="preserve"> to the conference by writing a short paper prior to the event and present</w:t>
            </w:r>
            <w:r>
              <w:rPr>
                <w:rFonts w:ascii="Calibri" w:eastAsia="Times New Roman" w:hAnsi="Calibri" w:cs="Calibri"/>
                <w:color w:val="000000"/>
                <w:lang w:eastAsia="en-GB"/>
              </w:rPr>
              <w:t>ed</w:t>
            </w:r>
            <w:r w:rsidRPr="0026652F">
              <w:rPr>
                <w:rFonts w:ascii="Calibri" w:eastAsia="Times New Roman" w:hAnsi="Calibri" w:cs="Calibri"/>
                <w:color w:val="000000"/>
                <w:lang w:eastAsia="en-GB"/>
              </w:rPr>
              <w:t xml:space="preserve"> their research during the</w:t>
            </w:r>
            <w:r>
              <w:rPr>
                <w:rFonts w:ascii="Calibri" w:eastAsia="Times New Roman" w:hAnsi="Calibri" w:cs="Calibri"/>
                <w:color w:val="000000"/>
                <w:lang w:eastAsia="en-GB"/>
              </w:rPr>
              <w:t xml:space="preserve"> first</w:t>
            </w:r>
            <w:r w:rsidRPr="0026652F">
              <w:rPr>
                <w:rFonts w:ascii="Calibri" w:eastAsia="Times New Roman" w:hAnsi="Calibri" w:cs="Calibri"/>
                <w:color w:val="000000"/>
                <w:lang w:eastAsia="en-GB"/>
              </w:rPr>
              <w:t xml:space="preserve"> two days of the public conference. </w:t>
            </w:r>
            <w:r>
              <w:rPr>
                <w:rFonts w:ascii="Calibri" w:eastAsia="Times New Roman" w:hAnsi="Calibri" w:cs="Calibri"/>
                <w:color w:val="000000"/>
                <w:lang w:eastAsia="en-GB"/>
              </w:rPr>
              <w:t xml:space="preserve">All the witnesses were </w:t>
            </w:r>
            <w:r w:rsidRPr="0026652F">
              <w:rPr>
                <w:rFonts w:ascii="Calibri" w:eastAsia="Times New Roman" w:hAnsi="Calibri" w:cs="Calibri"/>
                <w:color w:val="000000"/>
                <w:lang w:eastAsia="en-GB"/>
              </w:rPr>
              <w:t>asked questions by the jury</w:t>
            </w:r>
            <w:r>
              <w:rPr>
                <w:rFonts w:ascii="Calibri" w:eastAsia="Times New Roman" w:hAnsi="Calibri" w:cs="Calibri"/>
                <w:color w:val="000000"/>
                <w:lang w:eastAsia="en-GB"/>
              </w:rPr>
              <w:t xml:space="preserve"> </w:t>
            </w:r>
            <w:r w:rsidRPr="0026652F">
              <w:t xml:space="preserve">(Rey &amp; </w:t>
            </w:r>
            <w:proofErr w:type="spellStart"/>
            <w:r w:rsidRPr="0026652F">
              <w:t>Gaussel</w:t>
            </w:r>
            <w:proofErr w:type="spellEnd"/>
            <w:r w:rsidRPr="0026652F">
              <w:t xml:space="preserve"> 2016</w:t>
            </w:r>
            <w:r>
              <w:t>)</w:t>
            </w:r>
            <w:r w:rsidRPr="0026652F">
              <w:rPr>
                <w:rFonts w:ascii="Calibri" w:eastAsia="Times New Roman" w:hAnsi="Calibri" w:cs="Calibri"/>
                <w:color w:val="000000"/>
                <w:lang w:eastAsia="en-GB"/>
              </w:rPr>
              <w:t xml:space="preserve">. </w:t>
            </w:r>
            <w:r>
              <w:rPr>
                <w:rFonts w:ascii="Calibri" w:eastAsia="Times New Roman" w:hAnsi="Calibri" w:cs="Calibri"/>
                <w:color w:val="000000"/>
                <w:lang w:eastAsia="en-GB"/>
              </w:rPr>
              <w:t xml:space="preserve">It is not clear how and why the witnesses were selected. </w:t>
            </w:r>
          </w:p>
          <w:p w:rsidR="002A6106" w:rsidRDefault="002A6106" w:rsidP="00DE2792">
            <w:pPr>
              <w:jc w:val="both"/>
              <w:rPr>
                <w:b/>
              </w:rPr>
            </w:pPr>
          </w:p>
          <w:p w:rsidR="002A6106" w:rsidRDefault="002A6106" w:rsidP="00DE2792">
            <w:pPr>
              <w:jc w:val="both"/>
              <w:rPr>
                <w:b/>
              </w:rPr>
            </w:pPr>
            <w:r>
              <w:rPr>
                <w:b/>
              </w:rPr>
              <w:t xml:space="preserve">Use of Evidence </w:t>
            </w:r>
          </w:p>
          <w:p w:rsidR="002A6106" w:rsidRDefault="002A6106" w:rsidP="00DE2792">
            <w:pPr>
              <w:jc w:val="both"/>
            </w:pPr>
            <w:r>
              <w:t xml:space="preserve">There was activity and engagement ahead of the Consensus Conference. In the six months preceding the Consensus Conference, an extensive literature review was undertaken to explore the issue </w:t>
            </w:r>
            <w:r w:rsidRPr="0026652F">
              <w:t xml:space="preserve">(Rey &amp; </w:t>
            </w:r>
            <w:proofErr w:type="spellStart"/>
            <w:r w:rsidRPr="0026652F">
              <w:t>Gaussel</w:t>
            </w:r>
            <w:proofErr w:type="spellEnd"/>
            <w:r w:rsidRPr="0026652F">
              <w:t xml:space="preserve"> 2016).  </w:t>
            </w:r>
            <w:r>
              <w:t>Also, ahead of the Consensus Conference, two preparatory meetings were held with the jury so that they could learn how to read a research report and to manage the results</w:t>
            </w:r>
            <w:r w:rsidRPr="0026652F">
              <w:t xml:space="preserve">.  </w:t>
            </w:r>
            <w:r>
              <w:t xml:space="preserve">This included discussion of the differences between experimental and non-experimental research, what research evidence means, and how research can inform practice </w:t>
            </w:r>
            <w:r w:rsidRPr="0026652F">
              <w:t xml:space="preserve">(Rey &amp; </w:t>
            </w:r>
            <w:proofErr w:type="spellStart"/>
            <w:r w:rsidRPr="0026652F">
              <w:t>Gaussel</w:t>
            </w:r>
            <w:proofErr w:type="spellEnd"/>
            <w:r w:rsidRPr="0026652F">
              <w:t xml:space="preserve"> 2016).  </w:t>
            </w:r>
            <w:r>
              <w:t xml:space="preserve">During this same period, a panel of schools were asked to explain and describe the issues they faced and their concerns about students repeating years. The teachers and </w:t>
            </w:r>
            <w:proofErr w:type="spellStart"/>
            <w:r>
              <w:t>headteachers</w:t>
            </w:r>
            <w:proofErr w:type="spellEnd"/>
            <w:r>
              <w:t xml:space="preserve"> from these schools were asked to prepare a list of questions, and it was these questions which informed the conference programme. In addition, in the run-up to the conference, fifteen academics wrote short papers, which they then presented during the public conference </w:t>
            </w:r>
            <w:r w:rsidRPr="0026652F">
              <w:t xml:space="preserve">(Rey &amp; </w:t>
            </w:r>
            <w:proofErr w:type="spellStart"/>
            <w:r w:rsidRPr="0026652F">
              <w:t>Gaussel</w:t>
            </w:r>
            <w:proofErr w:type="spellEnd"/>
            <w:r w:rsidRPr="0026652F">
              <w:t xml:space="preserve"> 2016).  </w:t>
            </w:r>
            <w:r>
              <w:t xml:space="preserve">It is not clear how and why these academics were selected. </w:t>
            </w:r>
          </w:p>
          <w:p w:rsidR="002A6106" w:rsidRDefault="002A6106" w:rsidP="00DE2792">
            <w:pPr>
              <w:jc w:val="both"/>
              <w:rPr>
                <w:b/>
              </w:rPr>
            </w:pPr>
          </w:p>
          <w:p w:rsidR="002A6106" w:rsidRDefault="002A6106" w:rsidP="00DE2792">
            <w:pPr>
              <w:jc w:val="both"/>
            </w:pPr>
            <w:r w:rsidRPr="00D51AF4">
              <w:lastRenderedPageBreak/>
              <w:t>Evidence was presented in written reports, oral presentations, and discussion sessions.</w:t>
            </w:r>
            <w:r>
              <w:t xml:space="preserve"> During the third and final day, no witnesses were present, and instead the members of the jury wrote the ‘recommendations’. The recommendations were presented at an event in the French Senate. The recommendations discussed how the issue of grade retention is not particular to France, and that the extensive literature review and evidence presented during the conference showed that repeating a year does not improve educational outcomes, and in some instances, could negatively affect future employment prospects. As well as stating the findings of the research, the jury also suggested alternatives to repeating a year. The jury drew upon the research to recommend new interventions and innovations to be used by teachers in the classroom. As </w:t>
            </w:r>
            <w:r w:rsidRPr="0026652F">
              <w:t xml:space="preserve">Rey &amp; </w:t>
            </w:r>
            <w:proofErr w:type="spellStart"/>
            <w:r w:rsidRPr="0026652F">
              <w:t>Gaussel</w:t>
            </w:r>
            <w:proofErr w:type="spellEnd"/>
            <w:r w:rsidRPr="0026652F">
              <w:t xml:space="preserve"> </w:t>
            </w:r>
            <w:r>
              <w:t>(2016: 585) note, the jury decided that as ‘learning difficulties appear in the classroom, so they have to be tackled in the classroom, even if the causes of failure lie outside the school’, therefore teachers need to be made aware of, and encouraged to use, alternative solutions. It is not clear if any of these solutions were adopted, or how these recommendations influenced policy and practice.</w:t>
            </w:r>
          </w:p>
          <w:p w:rsidR="002A6106" w:rsidRDefault="002A6106" w:rsidP="00DE2792">
            <w:pPr>
              <w:jc w:val="both"/>
            </w:pPr>
          </w:p>
          <w:p w:rsidR="002A6106" w:rsidRDefault="002A6106" w:rsidP="00DE2792">
            <w:pPr>
              <w:jc w:val="both"/>
              <w:rPr>
                <w:b/>
              </w:rPr>
            </w:pPr>
            <w:r>
              <w:rPr>
                <w:b/>
              </w:rPr>
              <w:t>Merits Further Research</w:t>
            </w:r>
          </w:p>
          <w:p w:rsidR="002A6106" w:rsidRPr="00543D99" w:rsidRDefault="002A6106" w:rsidP="00DE2792">
            <w:pPr>
              <w:jc w:val="both"/>
              <w:rPr>
                <w:b/>
              </w:rPr>
            </w:pPr>
            <w:r>
              <w:t xml:space="preserve">In 1998, a Consensus Conference was held on GMOs and was deemed controversial and incompatible with the French political system. </w:t>
            </w:r>
            <w:r w:rsidRPr="0026652F">
              <w:t>This mini-public</w:t>
            </w:r>
            <w:r>
              <w:t xml:space="preserve"> </w:t>
            </w:r>
            <w:r w:rsidRPr="0026652F">
              <w:t>could be investigated further to understand whether</w:t>
            </w:r>
            <w:r>
              <w:t xml:space="preserve"> Consensus Conferences are still viewed in this way in France</w:t>
            </w:r>
            <w:r w:rsidRPr="0026652F">
              <w:t xml:space="preserve"> </w:t>
            </w:r>
            <w:bookmarkStart w:id="2" w:name="_Hlk518063879"/>
            <w:r w:rsidRPr="0026652F">
              <w:t xml:space="preserve">(Rey &amp; </w:t>
            </w:r>
            <w:proofErr w:type="spellStart"/>
            <w:r w:rsidRPr="0026652F">
              <w:t>Gaussel</w:t>
            </w:r>
            <w:proofErr w:type="spellEnd"/>
            <w:r w:rsidRPr="0026652F">
              <w:t xml:space="preserve"> 2016). </w:t>
            </w:r>
            <w:r>
              <w:t>This would further our understanding of how political systems influence the ability of mini-publics to achieve policy and practice impact.</w:t>
            </w:r>
            <w:r w:rsidRPr="0026652F">
              <w:t xml:space="preserve"> </w:t>
            </w:r>
            <w:bookmarkEnd w:id="2"/>
          </w:p>
        </w:tc>
      </w:tr>
    </w:tbl>
    <w:p w:rsidR="001D39E7" w:rsidRPr="001D39E7" w:rsidRDefault="001D39E7" w:rsidP="001D39E7">
      <w:pPr>
        <w:rPr>
          <w:i/>
          <w:sz w:val="24"/>
          <w:szCs w:val="24"/>
          <w:lang w:val="it-IT"/>
        </w:rPr>
      </w:pPr>
    </w:p>
    <w:p w:rsidR="001D39E7" w:rsidRDefault="001D39E7" w:rsidP="0052562D">
      <w:pPr>
        <w:rPr>
          <w:b/>
          <w:sz w:val="24"/>
          <w:szCs w:val="24"/>
        </w:rPr>
      </w:pPr>
    </w:p>
    <w:p w:rsidR="002A6106" w:rsidRDefault="002A6106" w:rsidP="0052562D">
      <w:pPr>
        <w:rPr>
          <w:b/>
          <w:sz w:val="24"/>
          <w:szCs w:val="24"/>
        </w:rPr>
      </w:pPr>
    </w:p>
    <w:p w:rsidR="002A6106" w:rsidRDefault="002A6106" w:rsidP="0052562D">
      <w:pPr>
        <w:rPr>
          <w:b/>
          <w:sz w:val="24"/>
          <w:szCs w:val="24"/>
        </w:rPr>
      </w:pPr>
    </w:p>
    <w:p w:rsidR="002A6106" w:rsidRDefault="002A6106" w:rsidP="0052562D">
      <w:pPr>
        <w:rPr>
          <w:b/>
          <w:sz w:val="24"/>
          <w:szCs w:val="24"/>
        </w:rPr>
      </w:pPr>
    </w:p>
    <w:p w:rsidR="002A6106" w:rsidRDefault="002A6106" w:rsidP="0052562D">
      <w:pPr>
        <w:rPr>
          <w:b/>
          <w:sz w:val="24"/>
          <w:szCs w:val="24"/>
        </w:rPr>
      </w:pPr>
    </w:p>
    <w:p w:rsidR="002A6106" w:rsidRDefault="002A6106" w:rsidP="0052562D">
      <w:pPr>
        <w:rPr>
          <w:b/>
          <w:sz w:val="24"/>
          <w:szCs w:val="24"/>
        </w:rPr>
      </w:pPr>
    </w:p>
    <w:p w:rsidR="002A6106" w:rsidRDefault="002A6106" w:rsidP="0052562D">
      <w:pPr>
        <w:rPr>
          <w:b/>
          <w:sz w:val="24"/>
          <w:szCs w:val="24"/>
        </w:rPr>
      </w:pPr>
    </w:p>
    <w:p w:rsidR="002A6106" w:rsidRDefault="002A6106" w:rsidP="0052562D">
      <w:pPr>
        <w:rPr>
          <w:b/>
          <w:sz w:val="24"/>
          <w:szCs w:val="24"/>
        </w:rPr>
      </w:pPr>
    </w:p>
    <w:p w:rsidR="002A6106" w:rsidRDefault="002A6106" w:rsidP="0052562D">
      <w:pPr>
        <w:rPr>
          <w:b/>
          <w:sz w:val="24"/>
          <w:szCs w:val="24"/>
        </w:rPr>
      </w:pPr>
    </w:p>
    <w:p w:rsidR="002A6106" w:rsidRDefault="002A6106" w:rsidP="0052562D">
      <w:pPr>
        <w:rPr>
          <w:b/>
          <w:sz w:val="24"/>
          <w:szCs w:val="24"/>
        </w:rPr>
      </w:pPr>
    </w:p>
    <w:p w:rsidR="002A6106" w:rsidRDefault="002A6106" w:rsidP="0052562D">
      <w:pPr>
        <w:rPr>
          <w:b/>
          <w:sz w:val="24"/>
          <w:szCs w:val="24"/>
        </w:rPr>
      </w:pPr>
    </w:p>
    <w:p w:rsidR="002A6106" w:rsidRDefault="002A6106" w:rsidP="0052562D">
      <w:pPr>
        <w:rPr>
          <w:b/>
          <w:sz w:val="24"/>
          <w:szCs w:val="24"/>
        </w:rPr>
      </w:pPr>
    </w:p>
    <w:p w:rsidR="002A6106" w:rsidRDefault="002A6106" w:rsidP="0052562D">
      <w:pPr>
        <w:rPr>
          <w:b/>
          <w:sz w:val="24"/>
          <w:szCs w:val="24"/>
        </w:rPr>
      </w:pPr>
    </w:p>
    <w:p w:rsidR="002A6106" w:rsidRDefault="002A6106" w:rsidP="0052562D">
      <w:pPr>
        <w:rPr>
          <w:b/>
          <w:sz w:val="24"/>
          <w:szCs w:val="24"/>
        </w:rPr>
      </w:pPr>
    </w:p>
    <w:p w:rsidR="002A6106" w:rsidRDefault="002A6106" w:rsidP="0052562D">
      <w:pPr>
        <w:rPr>
          <w:b/>
          <w:sz w:val="24"/>
          <w:szCs w:val="24"/>
        </w:rPr>
      </w:pPr>
    </w:p>
    <w:p w:rsidR="002A6106" w:rsidRDefault="002A6106" w:rsidP="0052562D">
      <w:pPr>
        <w:rPr>
          <w:b/>
          <w:sz w:val="24"/>
          <w:szCs w:val="24"/>
        </w:rPr>
      </w:pPr>
    </w:p>
    <w:p w:rsidR="002A6106" w:rsidRDefault="002A6106" w:rsidP="0052562D">
      <w:pPr>
        <w:rPr>
          <w:b/>
          <w:sz w:val="24"/>
          <w:szCs w:val="24"/>
        </w:rPr>
      </w:pPr>
    </w:p>
    <w:p w:rsidR="002A6106" w:rsidRDefault="002A6106" w:rsidP="0052562D">
      <w:pPr>
        <w:rPr>
          <w:b/>
          <w:sz w:val="24"/>
          <w:szCs w:val="24"/>
        </w:rPr>
      </w:pPr>
    </w:p>
    <w:p w:rsidR="00AC17FF" w:rsidRDefault="00AC17FF" w:rsidP="0052562D">
      <w:pPr>
        <w:rPr>
          <w:b/>
          <w:color w:val="0B5484" w:themeColor="accent1" w:themeShade="80"/>
          <w:sz w:val="24"/>
          <w:szCs w:val="24"/>
        </w:rPr>
      </w:pPr>
    </w:p>
    <w:p w:rsidR="00AC17FF" w:rsidRDefault="00AC17FF" w:rsidP="0052562D">
      <w:pPr>
        <w:rPr>
          <w:b/>
          <w:color w:val="0B5484" w:themeColor="accent1" w:themeShade="80"/>
          <w:sz w:val="24"/>
          <w:szCs w:val="24"/>
        </w:rPr>
      </w:pPr>
    </w:p>
    <w:p w:rsidR="00A400D3" w:rsidRPr="00AC17FF" w:rsidRDefault="00A400D3" w:rsidP="0052562D">
      <w:pPr>
        <w:rPr>
          <w:b/>
          <w:color w:val="0B5484" w:themeColor="accent1" w:themeShade="80"/>
          <w:sz w:val="28"/>
          <w:szCs w:val="28"/>
        </w:rPr>
      </w:pPr>
      <w:r w:rsidRPr="00AC17FF">
        <w:rPr>
          <w:b/>
          <w:color w:val="0B5484" w:themeColor="accent1" w:themeShade="80"/>
          <w:sz w:val="28"/>
          <w:szCs w:val="28"/>
        </w:rPr>
        <w:lastRenderedPageBreak/>
        <w:t>Germany</w:t>
      </w:r>
      <w:r w:rsidR="00AC17FF" w:rsidRPr="00AC17FF">
        <w:rPr>
          <w:b/>
          <w:color w:val="0B5484" w:themeColor="accent1" w:themeShade="80"/>
          <w:sz w:val="28"/>
          <w:szCs w:val="28"/>
        </w:rPr>
        <w:t xml:space="preserve"> and the Netherlands</w:t>
      </w:r>
    </w:p>
    <w:p w:rsidR="00D01D36" w:rsidRDefault="00D01D36" w:rsidP="00D01D36">
      <w:pPr>
        <w:jc w:val="both"/>
        <w:rPr>
          <w:b/>
          <w:color w:val="0B5484" w:themeColor="accent1" w:themeShade="80"/>
          <w:sz w:val="24"/>
          <w:szCs w:val="24"/>
        </w:rPr>
      </w:pPr>
      <w:r>
        <w:rPr>
          <w:b/>
          <w:bCs/>
          <w:color w:val="0B5484" w:themeColor="accent1" w:themeShade="80"/>
          <w:sz w:val="24"/>
          <w:szCs w:val="24"/>
        </w:rPr>
        <w:t xml:space="preserve">Table 12: </w:t>
      </w:r>
      <w:r>
        <w:rPr>
          <w:b/>
          <w:color w:val="0B5484" w:themeColor="accent1" w:themeShade="80"/>
          <w:sz w:val="24"/>
          <w:szCs w:val="24"/>
        </w:rPr>
        <w:t>Germany</w:t>
      </w:r>
      <w:r w:rsidRPr="00C82A8C">
        <w:rPr>
          <w:b/>
          <w:color w:val="0B5484" w:themeColor="accent1" w:themeShade="80"/>
          <w:sz w:val="24"/>
          <w:szCs w:val="24"/>
        </w:rPr>
        <w:t xml:space="preserve"> and </w:t>
      </w:r>
      <w:r>
        <w:rPr>
          <w:b/>
          <w:color w:val="0B5484" w:themeColor="accent1" w:themeShade="80"/>
          <w:sz w:val="24"/>
          <w:szCs w:val="24"/>
        </w:rPr>
        <w:t xml:space="preserve">The Netherlands: </w:t>
      </w:r>
      <w:r w:rsidRPr="00C82A8C">
        <w:rPr>
          <w:b/>
          <w:bCs/>
          <w:color w:val="0B5484" w:themeColor="accent1" w:themeShade="80"/>
          <w:sz w:val="24"/>
          <w:szCs w:val="24"/>
        </w:rPr>
        <w:t xml:space="preserve">Overview of </w:t>
      </w:r>
      <w:r>
        <w:rPr>
          <w:b/>
          <w:color w:val="0B5484" w:themeColor="accent1" w:themeShade="80"/>
          <w:sz w:val="24"/>
          <w:szCs w:val="24"/>
        </w:rPr>
        <w:t>Mini-Public</w:t>
      </w:r>
      <w:r w:rsidRPr="00C82A8C">
        <w:rPr>
          <w:b/>
          <w:color w:val="0B5484" w:themeColor="accent1" w:themeShade="80"/>
          <w:sz w:val="24"/>
          <w:szCs w:val="24"/>
        </w:rPr>
        <w:t xml:space="preserve"> Cases</w:t>
      </w:r>
    </w:p>
    <w:tbl>
      <w:tblPr>
        <w:tblStyle w:val="TableGrid"/>
        <w:tblW w:w="11199" w:type="dxa"/>
        <w:tblInd w:w="-998" w:type="dxa"/>
        <w:tblLook w:val="04A0" w:firstRow="1" w:lastRow="0" w:firstColumn="1" w:lastColumn="0" w:noHBand="0" w:noVBand="1"/>
      </w:tblPr>
      <w:tblGrid>
        <w:gridCol w:w="508"/>
        <w:gridCol w:w="2616"/>
        <w:gridCol w:w="1246"/>
        <w:gridCol w:w="1933"/>
        <w:gridCol w:w="947"/>
        <w:gridCol w:w="953"/>
        <w:gridCol w:w="1397"/>
        <w:gridCol w:w="1599"/>
      </w:tblGrid>
      <w:tr w:rsidR="0088377E" w:rsidTr="0005094B">
        <w:tc>
          <w:tcPr>
            <w:tcW w:w="508" w:type="dxa"/>
          </w:tcPr>
          <w:p w:rsidR="0088377E" w:rsidRPr="00C4576A" w:rsidRDefault="0088377E" w:rsidP="0005094B">
            <w:pPr>
              <w:rPr>
                <w:rFonts w:cstheme="minorHAnsi"/>
                <w:b/>
                <w:i/>
                <w:color w:val="0B5484" w:themeColor="accent1" w:themeShade="80"/>
                <w:sz w:val="20"/>
                <w:szCs w:val="20"/>
              </w:rPr>
            </w:pPr>
            <w:r w:rsidRPr="00C4576A">
              <w:rPr>
                <w:rFonts w:cstheme="minorHAnsi"/>
                <w:b/>
                <w:i/>
                <w:color w:val="0B5484" w:themeColor="accent1" w:themeShade="80"/>
                <w:sz w:val="20"/>
                <w:szCs w:val="20"/>
              </w:rPr>
              <w:t>No.</w:t>
            </w:r>
          </w:p>
        </w:tc>
        <w:tc>
          <w:tcPr>
            <w:tcW w:w="2616" w:type="dxa"/>
          </w:tcPr>
          <w:p w:rsidR="0088377E" w:rsidRPr="00C4576A" w:rsidRDefault="0088377E" w:rsidP="0005094B">
            <w:pPr>
              <w:rPr>
                <w:rFonts w:cstheme="minorHAnsi"/>
                <w:b/>
                <w:i/>
                <w:color w:val="0B5484" w:themeColor="accent1" w:themeShade="80"/>
                <w:sz w:val="20"/>
                <w:szCs w:val="20"/>
              </w:rPr>
            </w:pPr>
            <w:r w:rsidRPr="00C4576A">
              <w:rPr>
                <w:rFonts w:cstheme="minorHAnsi"/>
                <w:b/>
                <w:i/>
                <w:color w:val="0B5484" w:themeColor="accent1" w:themeShade="80"/>
                <w:sz w:val="20"/>
                <w:szCs w:val="20"/>
              </w:rPr>
              <w:t>Case</w:t>
            </w:r>
          </w:p>
        </w:tc>
        <w:tc>
          <w:tcPr>
            <w:tcW w:w="1246" w:type="dxa"/>
          </w:tcPr>
          <w:p w:rsidR="0088377E" w:rsidRPr="00C4576A" w:rsidRDefault="0088377E" w:rsidP="0005094B">
            <w:pPr>
              <w:rPr>
                <w:rFonts w:cstheme="minorHAnsi"/>
                <w:b/>
                <w:i/>
                <w:color w:val="0B5484" w:themeColor="accent1" w:themeShade="80"/>
                <w:sz w:val="20"/>
                <w:szCs w:val="20"/>
              </w:rPr>
            </w:pPr>
            <w:r w:rsidRPr="00C4576A">
              <w:rPr>
                <w:rFonts w:cstheme="minorHAnsi"/>
                <w:b/>
                <w:i/>
                <w:color w:val="0B5484" w:themeColor="accent1" w:themeShade="80"/>
                <w:sz w:val="20"/>
                <w:szCs w:val="20"/>
              </w:rPr>
              <w:t>Mini-Public</w:t>
            </w:r>
          </w:p>
        </w:tc>
        <w:tc>
          <w:tcPr>
            <w:tcW w:w="1933" w:type="dxa"/>
          </w:tcPr>
          <w:p w:rsidR="0088377E" w:rsidRPr="00C4576A" w:rsidRDefault="0088377E" w:rsidP="0005094B">
            <w:pPr>
              <w:rPr>
                <w:rFonts w:cstheme="minorHAnsi"/>
                <w:b/>
                <w:i/>
                <w:color w:val="0B5484" w:themeColor="accent1" w:themeShade="80"/>
                <w:sz w:val="20"/>
                <w:szCs w:val="20"/>
              </w:rPr>
            </w:pPr>
            <w:r w:rsidRPr="00C4576A">
              <w:rPr>
                <w:rFonts w:cstheme="minorHAnsi"/>
                <w:b/>
                <w:i/>
                <w:color w:val="0B5484" w:themeColor="accent1" w:themeShade="80"/>
                <w:sz w:val="20"/>
                <w:szCs w:val="20"/>
              </w:rPr>
              <w:t>Location</w:t>
            </w:r>
          </w:p>
        </w:tc>
        <w:tc>
          <w:tcPr>
            <w:tcW w:w="947" w:type="dxa"/>
          </w:tcPr>
          <w:p w:rsidR="0088377E" w:rsidRPr="00C4576A" w:rsidRDefault="0088377E" w:rsidP="0005094B">
            <w:pPr>
              <w:rPr>
                <w:rFonts w:cstheme="minorHAnsi"/>
                <w:b/>
                <w:i/>
                <w:color w:val="0B5484" w:themeColor="accent1" w:themeShade="80"/>
                <w:sz w:val="20"/>
                <w:szCs w:val="20"/>
              </w:rPr>
            </w:pPr>
            <w:r w:rsidRPr="00C4576A">
              <w:rPr>
                <w:rFonts w:cstheme="minorHAnsi"/>
                <w:b/>
                <w:i/>
                <w:color w:val="0B5484" w:themeColor="accent1" w:themeShade="80"/>
                <w:sz w:val="20"/>
                <w:szCs w:val="20"/>
              </w:rPr>
              <w:t>Date</w:t>
            </w:r>
          </w:p>
        </w:tc>
        <w:tc>
          <w:tcPr>
            <w:tcW w:w="953" w:type="dxa"/>
          </w:tcPr>
          <w:p w:rsidR="0088377E" w:rsidRPr="00C4576A" w:rsidRDefault="0088377E" w:rsidP="0005094B">
            <w:pPr>
              <w:rPr>
                <w:rFonts w:cstheme="minorHAnsi"/>
                <w:b/>
                <w:i/>
                <w:color w:val="0B5484" w:themeColor="accent1" w:themeShade="80"/>
                <w:sz w:val="20"/>
                <w:szCs w:val="20"/>
              </w:rPr>
            </w:pPr>
            <w:r w:rsidRPr="00C4576A">
              <w:rPr>
                <w:rFonts w:cstheme="minorHAnsi"/>
                <w:b/>
                <w:i/>
                <w:color w:val="0B5484" w:themeColor="accent1" w:themeShade="80"/>
                <w:sz w:val="20"/>
                <w:szCs w:val="20"/>
              </w:rPr>
              <w:t>Duration</w:t>
            </w:r>
          </w:p>
        </w:tc>
        <w:tc>
          <w:tcPr>
            <w:tcW w:w="1397" w:type="dxa"/>
          </w:tcPr>
          <w:p w:rsidR="0088377E" w:rsidRPr="00C4576A" w:rsidRDefault="0088377E" w:rsidP="0005094B">
            <w:pPr>
              <w:rPr>
                <w:rFonts w:cstheme="minorHAnsi"/>
                <w:b/>
                <w:i/>
                <w:color w:val="0B5484" w:themeColor="accent1" w:themeShade="80"/>
                <w:sz w:val="20"/>
                <w:szCs w:val="20"/>
              </w:rPr>
            </w:pPr>
            <w:r w:rsidRPr="00C4576A">
              <w:rPr>
                <w:rFonts w:cstheme="minorHAnsi"/>
                <w:b/>
                <w:i/>
                <w:color w:val="0B5484" w:themeColor="accent1" w:themeShade="80"/>
                <w:sz w:val="20"/>
                <w:szCs w:val="20"/>
              </w:rPr>
              <w:t>No. Participants</w:t>
            </w:r>
          </w:p>
        </w:tc>
        <w:tc>
          <w:tcPr>
            <w:tcW w:w="1599" w:type="dxa"/>
          </w:tcPr>
          <w:p w:rsidR="0088377E" w:rsidRPr="00C4576A" w:rsidRDefault="0088377E" w:rsidP="0005094B">
            <w:pPr>
              <w:rPr>
                <w:rFonts w:cstheme="minorHAnsi"/>
                <w:b/>
                <w:i/>
                <w:color w:val="0B5484" w:themeColor="accent1" w:themeShade="80"/>
                <w:sz w:val="20"/>
                <w:szCs w:val="20"/>
              </w:rPr>
            </w:pPr>
            <w:r w:rsidRPr="00C4576A">
              <w:rPr>
                <w:rFonts w:cstheme="minorHAnsi"/>
                <w:b/>
                <w:i/>
                <w:color w:val="0B5484" w:themeColor="accent1" w:themeShade="80"/>
                <w:sz w:val="20"/>
                <w:szCs w:val="20"/>
              </w:rPr>
              <w:t>Sampling Method</w:t>
            </w:r>
          </w:p>
        </w:tc>
      </w:tr>
      <w:tr w:rsidR="0088377E" w:rsidTr="0005094B">
        <w:tc>
          <w:tcPr>
            <w:tcW w:w="508" w:type="dxa"/>
            <w:shd w:val="clear" w:color="auto" w:fill="ABD9F8" w:themeFill="accent1" w:themeFillTint="66"/>
            <w:vAlign w:val="center"/>
          </w:tcPr>
          <w:p w:rsidR="0088377E" w:rsidRPr="00987122" w:rsidRDefault="0088377E" w:rsidP="0005094B">
            <w:pPr>
              <w:rPr>
                <w:rFonts w:cstheme="minorHAnsi"/>
                <w:b/>
                <w:i/>
                <w:sz w:val="20"/>
                <w:szCs w:val="20"/>
              </w:rPr>
            </w:pPr>
            <w:r w:rsidRPr="00987122">
              <w:rPr>
                <w:rFonts w:cstheme="minorHAnsi"/>
                <w:b/>
                <w:i/>
                <w:sz w:val="20"/>
                <w:szCs w:val="20"/>
              </w:rPr>
              <w:t>30</w:t>
            </w:r>
          </w:p>
        </w:tc>
        <w:tc>
          <w:tcPr>
            <w:tcW w:w="2616" w:type="dxa"/>
            <w:tcBorders>
              <w:top w:val="single" w:sz="4" w:space="0" w:color="auto"/>
              <w:left w:val="single" w:sz="4" w:space="0" w:color="auto"/>
              <w:bottom w:val="single" w:sz="4" w:space="0" w:color="auto"/>
              <w:right w:val="single" w:sz="4" w:space="0" w:color="auto"/>
            </w:tcBorders>
            <w:shd w:val="clear" w:color="auto" w:fill="ABD9F8" w:themeFill="accent1" w:themeFillTint="66"/>
            <w:vAlign w:val="center"/>
          </w:tcPr>
          <w:p w:rsidR="0088377E" w:rsidRPr="002B4065" w:rsidRDefault="0088377E" w:rsidP="0005094B">
            <w:pPr>
              <w:rPr>
                <w:rFonts w:cstheme="minorHAnsi"/>
                <w:color w:val="000000"/>
                <w:sz w:val="20"/>
                <w:szCs w:val="20"/>
              </w:rPr>
            </w:pPr>
            <w:r w:rsidRPr="002B4065">
              <w:rPr>
                <w:rFonts w:cstheme="minorHAnsi"/>
                <w:color w:val="000000"/>
                <w:sz w:val="20"/>
                <w:szCs w:val="20"/>
              </w:rPr>
              <w:t>GAMBA ("Gene Activated Matrix for Bone and Cartilage Regeneration on Arthritis") Patient and Citizen Panels</w:t>
            </w:r>
          </w:p>
        </w:tc>
        <w:tc>
          <w:tcPr>
            <w:tcW w:w="1246" w:type="dxa"/>
            <w:tcBorders>
              <w:top w:val="single" w:sz="4" w:space="0" w:color="auto"/>
              <w:left w:val="nil"/>
              <w:bottom w:val="single" w:sz="4" w:space="0" w:color="auto"/>
              <w:right w:val="single" w:sz="4" w:space="0" w:color="auto"/>
            </w:tcBorders>
            <w:shd w:val="clear" w:color="auto" w:fill="ABD9F8" w:themeFill="accent1" w:themeFillTint="66"/>
            <w:vAlign w:val="center"/>
          </w:tcPr>
          <w:p w:rsidR="0088377E" w:rsidRPr="002B4065" w:rsidRDefault="0088377E" w:rsidP="0005094B">
            <w:pPr>
              <w:rPr>
                <w:rFonts w:cstheme="minorHAnsi"/>
                <w:color w:val="000000"/>
                <w:sz w:val="20"/>
                <w:szCs w:val="20"/>
              </w:rPr>
            </w:pPr>
            <w:r w:rsidRPr="002B4065">
              <w:rPr>
                <w:rFonts w:cstheme="minorHAnsi"/>
                <w:color w:val="000000"/>
                <w:sz w:val="20"/>
                <w:szCs w:val="20"/>
              </w:rPr>
              <w:t>Citizens' Jury</w:t>
            </w:r>
          </w:p>
        </w:tc>
        <w:tc>
          <w:tcPr>
            <w:tcW w:w="1933" w:type="dxa"/>
            <w:tcBorders>
              <w:top w:val="single" w:sz="4" w:space="0" w:color="auto"/>
              <w:left w:val="nil"/>
              <w:bottom w:val="single" w:sz="4" w:space="0" w:color="auto"/>
              <w:right w:val="single" w:sz="4" w:space="0" w:color="auto"/>
            </w:tcBorders>
            <w:shd w:val="clear" w:color="auto" w:fill="ABD9F8" w:themeFill="accent1" w:themeFillTint="66"/>
            <w:vAlign w:val="center"/>
          </w:tcPr>
          <w:p w:rsidR="0088377E" w:rsidRPr="002B4065" w:rsidRDefault="0088377E" w:rsidP="0005094B">
            <w:pPr>
              <w:rPr>
                <w:rFonts w:cstheme="minorHAnsi"/>
                <w:color w:val="000000"/>
                <w:sz w:val="20"/>
                <w:szCs w:val="20"/>
              </w:rPr>
            </w:pPr>
            <w:r w:rsidRPr="002B4065">
              <w:rPr>
                <w:rFonts w:cstheme="minorHAnsi"/>
                <w:color w:val="000000"/>
                <w:sz w:val="20"/>
                <w:szCs w:val="20"/>
              </w:rPr>
              <w:t>Bayern</w:t>
            </w:r>
          </w:p>
        </w:tc>
        <w:tc>
          <w:tcPr>
            <w:tcW w:w="947" w:type="dxa"/>
            <w:tcBorders>
              <w:top w:val="single" w:sz="4" w:space="0" w:color="auto"/>
              <w:left w:val="nil"/>
              <w:bottom w:val="single" w:sz="4" w:space="0" w:color="auto"/>
              <w:right w:val="single" w:sz="4" w:space="0" w:color="auto"/>
            </w:tcBorders>
            <w:shd w:val="clear" w:color="auto" w:fill="ABD9F8" w:themeFill="accent1" w:themeFillTint="66"/>
            <w:vAlign w:val="center"/>
          </w:tcPr>
          <w:p w:rsidR="0088377E" w:rsidRPr="002B4065" w:rsidRDefault="0088377E" w:rsidP="0005094B">
            <w:pPr>
              <w:rPr>
                <w:rFonts w:cstheme="minorHAnsi"/>
                <w:color w:val="000000"/>
                <w:sz w:val="20"/>
                <w:szCs w:val="20"/>
              </w:rPr>
            </w:pPr>
            <w:r w:rsidRPr="002B4065">
              <w:rPr>
                <w:rFonts w:cstheme="minorHAnsi"/>
                <w:color w:val="000000"/>
                <w:sz w:val="20"/>
                <w:szCs w:val="20"/>
              </w:rPr>
              <w:t>May-11</w:t>
            </w:r>
          </w:p>
        </w:tc>
        <w:tc>
          <w:tcPr>
            <w:tcW w:w="953" w:type="dxa"/>
            <w:tcBorders>
              <w:top w:val="single" w:sz="4" w:space="0" w:color="auto"/>
              <w:left w:val="nil"/>
              <w:bottom w:val="single" w:sz="4" w:space="0" w:color="auto"/>
              <w:right w:val="single" w:sz="4" w:space="0" w:color="auto"/>
            </w:tcBorders>
            <w:shd w:val="clear" w:color="auto" w:fill="ABD9F8" w:themeFill="accent1" w:themeFillTint="66"/>
            <w:vAlign w:val="center"/>
          </w:tcPr>
          <w:p w:rsidR="0088377E" w:rsidRPr="002B4065" w:rsidRDefault="0088377E" w:rsidP="0005094B">
            <w:pPr>
              <w:rPr>
                <w:rFonts w:cstheme="minorHAnsi"/>
                <w:color w:val="000000"/>
                <w:sz w:val="20"/>
                <w:szCs w:val="20"/>
              </w:rPr>
            </w:pPr>
            <w:r w:rsidRPr="002B4065">
              <w:rPr>
                <w:rFonts w:cstheme="minorHAnsi"/>
                <w:color w:val="000000"/>
                <w:sz w:val="20"/>
                <w:szCs w:val="20"/>
              </w:rPr>
              <w:t>3 to 4 days</w:t>
            </w:r>
          </w:p>
        </w:tc>
        <w:tc>
          <w:tcPr>
            <w:tcW w:w="1397" w:type="dxa"/>
            <w:tcBorders>
              <w:top w:val="single" w:sz="4" w:space="0" w:color="auto"/>
              <w:left w:val="nil"/>
              <w:bottom w:val="single" w:sz="4" w:space="0" w:color="auto"/>
              <w:right w:val="single" w:sz="4" w:space="0" w:color="auto"/>
            </w:tcBorders>
            <w:shd w:val="clear" w:color="auto" w:fill="ABD9F8" w:themeFill="accent1" w:themeFillTint="66"/>
            <w:vAlign w:val="center"/>
          </w:tcPr>
          <w:p w:rsidR="0088377E" w:rsidRPr="002B4065" w:rsidRDefault="0088377E" w:rsidP="0005094B">
            <w:pPr>
              <w:rPr>
                <w:rFonts w:cstheme="minorHAnsi"/>
                <w:color w:val="000000"/>
                <w:sz w:val="20"/>
                <w:szCs w:val="20"/>
              </w:rPr>
            </w:pPr>
            <w:r w:rsidRPr="002B4065">
              <w:rPr>
                <w:rFonts w:cstheme="minorHAnsi"/>
                <w:color w:val="000000"/>
                <w:sz w:val="20"/>
                <w:szCs w:val="20"/>
              </w:rPr>
              <w:t>50</w:t>
            </w:r>
          </w:p>
        </w:tc>
        <w:tc>
          <w:tcPr>
            <w:tcW w:w="1599" w:type="dxa"/>
            <w:tcBorders>
              <w:top w:val="single" w:sz="4" w:space="0" w:color="auto"/>
              <w:left w:val="nil"/>
              <w:bottom w:val="single" w:sz="4" w:space="0" w:color="auto"/>
              <w:right w:val="single" w:sz="4" w:space="0" w:color="auto"/>
            </w:tcBorders>
            <w:shd w:val="clear" w:color="auto" w:fill="ABD9F8" w:themeFill="accent1" w:themeFillTint="66"/>
            <w:vAlign w:val="center"/>
          </w:tcPr>
          <w:p w:rsidR="0088377E" w:rsidRPr="002B4065" w:rsidRDefault="0088377E" w:rsidP="0005094B">
            <w:pPr>
              <w:rPr>
                <w:rFonts w:cstheme="minorHAnsi"/>
                <w:color w:val="000000"/>
                <w:sz w:val="20"/>
                <w:szCs w:val="20"/>
              </w:rPr>
            </w:pPr>
            <w:r w:rsidRPr="002B4065">
              <w:rPr>
                <w:rFonts w:cstheme="minorHAnsi"/>
                <w:color w:val="000000"/>
                <w:sz w:val="20"/>
                <w:szCs w:val="20"/>
              </w:rPr>
              <w:t>Random and stratified selection</w:t>
            </w:r>
          </w:p>
        </w:tc>
      </w:tr>
      <w:tr w:rsidR="0088377E" w:rsidTr="0005094B">
        <w:tc>
          <w:tcPr>
            <w:tcW w:w="508" w:type="dxa"/>
            <w:vAlign w:val="center"/>
          </w:tcPr>
          <w:p w:rsidR="0088377E" w:rsidRPr="00987122" w:rsidRDefault="0088377E" w:rsidP="0005094B">
            <w:pPr>
              <w:rPr>
                <w:rFonts w:cstheme="minorHAnsi"/>
                <w:b/>
                <w:i/>
                <w:sz w:val="20"/>
                <w:szCs w:val="20"/>
              </w:rPr>
            </w:pPr>
            <w:r w:rsidRPr="00987122">
              <w:rPr>
                <w:rFonts w:cstheme="minorHAnsi"/>
                <w:b/>
                <w:i/>
                <w:sz w:val="20"/>
                <w:szCs w:val="20"/>
              </w:rPr>
              <w:t>31</w:t>
            </w:r>
          </w:p>
        </w:tc>
        <w:tc>
          <w:tcPr>
            <w:tcW w:w="2616" w:type="dxa"/>
            <w:tcBorders>
              <w:top w:val="nil"/>
              <w:left w:val="single" w:sz="4" w:space="0" w:color="auto"/>
              <w:bottom w:val="single" w:sz="4" w:space="0" w:color="auto"/>
              <w:right w:val="single" w:sz="4" w:space="0" w:color="auto"/>
            </w:tcBorders>
            <w:shd w:val="clear" w:color="auto" w:fill="auto"/>
            <w:vAlign w:val="center"/>
          </w:tcPr>
          <w:p w:rsidR="0088377E" w:rsidRPr="002B4065" w:rsidRDefault="0088377E" w:rsidP="0005094B">
            <w:pPr>
              <w:rPr>
                <w:rFonts w:cstheme="minorHAnsi"/>
                <w:color w:val="000000"/>
                <w:sz w:val="20"/>
                <w:szCs w:val="20"/>
              </w:rPr>
            </w:pPr>
            <w:r w:rsidRPr="002B4065">
              <w:rPr>
                <w:rFonts w:cstheme="minorHAnsi"/>
                <w:color w:val="000000"/>
                <w:sz w:val="20"/>
                <w:szCs w:val="20"/>
              </w:rPr>
              <w:t>Participatory Budgeting in Berlin-Lichtenberg</w:t>
            </w:r>
          </w:p>
        </w:tc>
        <w:tc>
          <w:tcPr>
            <w:tcW w:w="1246" w:type="dxa"/>
            <w:tcBorders>
              <w:top w:val="nil"/>
              <w:left w:val="nil"/>
              <w:bottom w:val="single" w:sz="4" w:space="0" w:color="auto"/>
              <w:right w:val="single" w:sz="4" w:space="0" w:color="auto"/>
            </w:tcBorders>
            <w:shd w:val="clear" w:color="auto" w:fill="auto"/>
            <w:vAlign w:val="center"/>
          </w:tcPr>
          <w:p w:rsidR="0088377E" w:rsidRPr="002B4065" w:rsidRDefault="0088377E" w:rsidP="0005094B">
            <w:pPr>
              <w:rPr>
                <w:rFonts w:cstheme="minorHAnsi"/>
                <w:color w:val="000000"/>
                <w:sz w:val="20"/>
                <w:szCs w:val="20"/>
              </w:rPr>
            </w:pPr>
            <w:r w:rsidRPr="002B4065">
              <w:rPr>
                <w:rFonts w:cstheme="minorHAnsi"/>
                <w:color w:val="000000"/>
                <w:sz w:val="20"/>
                <w:szCs w:val="20"/>
              </w:rPr>
              <w:t>Citizen Assemblies</w:t>
            </w:r>
          </w:p>
        </w:tc>
        <w:tc>
          <w:tcPr>
            <w:tcW w:w="1933" w:type="dxa"/>
            <w:tcBorders>
              <w:top w:val="nil"/>
              <w:left w:val="nil"/>
              <w:bottom w:val="single" w:sz="4" w:space="0" w:color="auto"/>
              <w:right w:val="single" w:sz="4" w:space="0" w:color="auto"/>
            </w:tcBorders>
            <w:shd w:val="clear" w:color="auto" w:fill="auto"/>
            <w:vAlign w:val="center"/>
          </w:tcPr>
          <w:p w:rsidR="0088377E" w:rsidRPr="002B4065" w:rsidRDefault="0088377E" w:rsidP="0005094B">
            <w:pPr>
              <w:rPr>
                <w:rFonts w:cstheme="minorHAnsi"/>
                <w:color w:val="000000"/>
                <w:sz w:val="20"/>
                <w:szCs w:val="20"/>
              </w:rPr>
            </w:pPr>
            <w:r w:rsidRPr="002B4065">
              <w:rPr>
                <w:rFonts w:cstheme="minorHAnsi"/>
                <w:color w:val="000000"/>
                <w:sz w:val="20"/>
                <w:szCs w:val="20"/>
              </w:rPr>
              <w:t>Berlin-Lichtenberg, a borough in Eastern Berlin</w:t>
            </w:r>
          </w:p>
        </w:tc>
        <w:tc>
          <w:tcPr>
            <w:tcW w:w="947" w:type="dxa"/>
            <w:tcBorders>
              <w:top w:val="nil"/>
              <w:left w:val="nil"/>
              <w:bottom w:val="single" w:sz="4" w:space="0" w:color="auto"/>
              <w:right w:val="single" w:sz="4" w:space="0" w:color="auto"/>
            </w:tcBorders>
            <w:shd w:val="clear" w:color="auto" w:fill="auto"/>
            <w:vAlign w:val="center"/>
          </w:tcPr>
          <w:p w:rsidR="0088377E" w:rsidRPr="002B4065" w:rsidRDefault="0088377E" w:rsidP="0005094B">
            <w:pPr>
              <w:rPr>
                <w:rFonts w:cstheme="minorHAnsi"/>
                <w:color w:val="000000"/>
                <w:sz w:val="20"/>
                <w:szCs w:val="20"/>
              </w:rPr>
            </w:pPr>
            <w:r w:rsidRPr="002B4065">
              <w:rPr>
                <w:rFonts w:cstheme="minorHAnsi"/>
                <w:color w:val="000000"/>
                <w:sz w:val="20"/>
                <w:szCs w:val="20"/>
              </w:rPr>
              <w:t>2005 - ongoing</w:t>
            </w:r>
          </w:p>
        </w:tc>
        <w:tc>
          <w:tcPr>
            <w:tcW w:w="953" w:type="dxa"/>
            <w:tcBorders>
              <w:top w:val="nil"/>
              <w:left w:val="nil"/>
              <w:bottom w:val="single" w:sz="4" w:space="0" w:color="auto"/>
              <w:right w:val="single" w:sz="4" w:space="0" w:color="auto"/>
            </w:tcBorders>
            <w:shd w:val="clear" w:color="auto" w:fill="auto"/>
            <w:vAlign w:val="center"/>
          </w:tcPr>
          <w:p w:rsidR="0088377E" w:rsidRPr="002B4065" w:rsidRDefault="0088377E" w:rsidP="0005094B">
            <w:pPr>
              <w:rPr>
                <w:rFonts w:cstheme="minorHAnsi"/>
                <w:color w:val="000000"/>
                <w:sz w:val="20"/>
                <w:szCs w:val="20"/>
              </w:rPr>
            </w:pPr>
            <w:r w:rsidRPr="002B4065">
              <w:rPr>
                <w:rFonts w:cstheme="minorHAnsi"/>
                <w:color w:val="000000"/>
                <w:sz w:val="20"/>
                <w:szCs w:val="20"/>
              </w:rPr>
              <w:t>Don't know</w:t>
            </w:r>
          </w:p>
        </w:tc>
        <w:tc>
          <w:tcPr>
            <w:tcW w:w="1397" w:type="dxa"/>
            <w:tcBorders>
              <w:top w:val="nil"/>
              <w:left w:val="nil"/>
              <w:bottom w:val="single" w:sz="4" w:space="0" w:color="auto"/>
              <w:right w:val="single" w:sz="4" w:space="0" w:color="auto"/>
            </w:tcBorders>
            <w:shd w:val="clear" w:color="auto" w:fill="auto"/>
            <w:vAlign w:val="center"/>
          </w:tcPr>
          <w:p w:rsidR="0088377E" w:rsidRPr="002B4065" w:rsidRDefault="0088377E" w:rsidP="0005094B">
            <w:pPr>
              <w:rPr>
                <w:rFonts w:cstheme="minorHAnsi"/>
                <w:color w:val="000000"/>
                <w:sz w:val="20"/>
                <w:szCs w:val="20"/>
              </w:rPr>
            </w:pPr>
            <w:r w:rsidRPr="002B4065">
              <w:rPr>
                <w:rFonts w:cstheme="minorHAnsi"/>
                <w:color w:val="000000"/>
                <w:sz w:val="20"/>
                <w:szCs w:val="20"/>
              </w:rPr>
              <w:t>600 [participated in 2008]</w:t>
            </w:r>
          </w:p>
        </w:tc>
        <w:tc>
          <w:tcPr>
            <w:tcW w:w="1599" w:type="dxa"/>
            <w:tcBorders>
              <w:top w:val="nil"/>
              <w:left w:val="nil"/>
              <w:bottom w:val="single" w:sz="4" w:space="0" w:color="auto"/>
              <w:right w:val="single" w:sz="4" w:space="0" w:color="auto"/>
            </w:tcBorders>
            <w:shd w:val="clear" w:color="auto" w:fill="auto"/>
            <w:vAlign w:val="center"/>
          </w:tcPr>
          <w:p w:rsidR="0088377E" w:rsidRPr="002B4065" w:rsidRDefault="0088377E" w:rsidP="0005094B">
            <w:pPr>
              <w:rPr>
                <w:rFonts w:cstheme="minorHAnsi"/>
                <w:color w:val="000000"/>
                <w:sz w:val="20"/>
                <w:szCs w:val="20"/>
              </w:rPr>
            </w:pPr>
            <w:r w:rsidRPr="002B4065">
              <w:rPr>
                <w:rFonts w:cstheme="minorHAnsi"/>
                <w:color w:val="000000"/>
                <w:sz w:val="20"/>
                <w:szCs w:val="20"/>
              </w:rPr>
              <w:t>Online registration, selection is unclear</w:t>
            </w:r>
          </w:p>
        </w:tc>
      </w:tr>
      <w:tr w:rsidR="0088377E" w:rsidTr="0005094B">
        <w:tc>
          <w:tcPr>
            <w:tcW w:w="508" w:type="dxa"/>
            <w:shd w:val="clear" w:color="auto" w:fill="ABD9F8" w:themeFill="accent1" w:themeFillTint="66"/>
            <w:vAlign w:val="center"/>
          </w:tcPr>
          <w:p w:rsidR="0088377E" w:rsidRPr="00987122" w:rsidRDefault="0088377E" w:rsidP="0005094B">
            <w:pPr>
              <w:rPr>
                <w:rFonts w:cstheme="minorHAnsi"/>
                <w:b/>
                <w:i/>
                <w:sz w:val="20"/>
                <w:szCs w:val="20"/>
              </w:rPr>
            </w:pPr>
            <w:r w:rsidRPr="00987122">
              <w:rPr>
                <w:rFonts w:cstheme="minorHAnsi"/>
                <w:b/>
                <w:i/>
                <w:sz w:val="20"/>
                <w:szCs w:val="20"/>
              </w:rPr>
              <w:t>32</w:t>
            </w:r>
          </w:p>
        </w:tc>
        <w:tc>
          <w:tcPr>
            <w:tcW w:w="2616" w:type="dxa"/>
            <w:tcBorders>
              <w:top w:val="nil"/>
              <w:left w:val="single" w:sz="4" w:space="0" w:color="auto"/>
              <w:bottom w:val="single" w:sz="4" w:space="0" w:color="auto"/>
              <w:right w:val="single" w:sz="4" w:space="0" w:color="auto"/>
            </w:tcBorders>
            <w:shd w:val="clear" w:color="auto" w:fill="ABD9F8" w:themeFill="accent1" w:themeFillTint="66"/>
            <w:vAlign w:val="center"/>
          </w:tcPr>
          <w:p w:rsidR="0088377E" w:rsidRPr="002B4065" w:rsidRDefault="0088377E" w:rsidP="0005094B">
            <w:pPr>
              <w:rPr>
                <w:rFonts w:cstheme="minorHAnsi"/>
                <w:color w:val="000000"/>
                <w:sz w:val="20"/>
                <w:szCs w:val="20"/>
              </w:rPr>
            </w:pPr>
            <w:r w:rsidRPr="002B4065">
              <w:rPr>
                <w:rFonts w:cstheme="minorHAnsi"/>
                <w:color w:val="000000"/>
                <w:sz w:val="20"/>
                <w:szCs w:val="20"/>
              </w:rPr>
              <w:t>Children's rheumatology</w:t>
            </w:r>
          </w:p>
        </w:tc>
        <w:tc>
          <w:tcPr>
            <w:tcW w:w="1246" w:type="dxa"/>
            <w:tcBorders>
              <w:top w:val="nil"/>
              <w:left w:val="nil"/>
              <w:bottom w:val="single" w:sz="4" w:space="0" w:color="auto"/>
              <w:right w:val="single" w:sz="4" w:space="0" w:color="auto"/>
            </w:tcBorders>
            <w:shd w:val="clear" w:color="auto" w:fill="ABD9F8" w:themeFill="accent1" w:themeFillTint="66"/>
            <w:vAlign w:val="center"/>
          </w:tcPr>
          <w:p w:rsidR="0088377E" w:rsidRPr="002B4065" w:rsidRDefault="0088377E" w:rsidP="0005094B">
            <w:pPr>
              <w:rPr>
                <w:rFonts w:cstheme="minorHAnsi"/>
                <w:color w:val="000000"/>
                <w:sz w:val="20"/>
                <w:szCs w:val="20"/>
              </w:rPr>
            </w:pPr>
            <w:r w:rsidRPr="002B4065">
              <w:rPr>
                <w:rFonts w:cstheme="minorHAnsi"/>
                <w:color w:val="000000"/>
                <w:sz w:val="20"/>
                <w:szCs w:val="20"/>
              </w:rPr>
              <w:t>Consensus Conference</w:t>
            </w:r>
          </w:p>
        </w:tc>
        <w:tc>
          <w:tcPr>
            <w:tcW w:w="1933" w:type="dxa"/>
            <w:tcBorders>
              <w:top w:val="nil"/>
              <w:left w:val="nil"/>
              <w:bottom w:val="single" w:sz="4" w:space="0" w:color="auto"/>
              <w:right w:val="single" w:sz="4" w:space="0" w:color="auto"/>
            </w:tcBorders>
            <w:shd w:val="clear" w:color="auto" w:fill="ABD9F8" w:themeFill="accent1" w:themeFillTint="66"/>
            <w:vAlign w:val="center"/>
          </w:tcPr>
          <w:p w:rsidR="0088377E" w:rsidRPr="002B4065" w:rsidRDefault="0088377E" w:rsidP="0005094B">
            <w:pPr>
              <w:rPr>
                <w:rFonts w:cstheme="minorHAnsi"/>
                <w:color w:val="000000"/>
                <w:sz w:val="20"/>
                <w:szCs w:val="20"/>
              </w:rPr>
            </w:pPr>
            <w:r w:rsidRPr="002B4065">
              <w:rPr>
                <w:rFonts w:cstheme="minorHAnsi"/>
                <w:color w:val="000000"/>
                <w:sz w:val="20"/>
                <w:szCs w:val="20"/>
              </w:rPr>
              <w:t>Dusseldorf [2]</w:t>
            </w:r>
          </w:p>
        </w:tc>
        <w:tc>
          <w:tcPr>
            <w:tcW w:w="947" w:type="dxa"/>
            <w:tcBorders>
              <w:top w:val="nil"/>
              <w:left w:val="nil"/>
              <w:bottom w:val="single" w:sz="4" w:space="0" w:color="auto"/>
              <w:right w:val="single" w:sz="4" w:space="0" w:color="auto"/>
            </w:tcBorders>
            <w:shd w:val="clear" w:color="auto" w:fill="ABD9F8" w:themeFill="accent1" w:themeFillTint="66"/>
            <w:vAlign w:val="center"/>
          </w:tcPr>
          <w:p w:rsidR="0088377E" w:rsidRPr="002B4065" w:rsidRDefault="0088377E" w:rsidP="0005094B">
            <w:pPr>
              <w:rPr>
                <w:rFonts w:cstheme="minorHAnsi"/>
                <w:color w:val="000000"/>
                <w:sz w:val="20"/>
                <w:szCs w:val="20"/>
              </w:rPr>
            </w:pPr>
            <w:r w:rsidRPr="002B4065">
              <w:rPr>
                <w:rFonts w:cstheme="minorHAnsi"/>
                <w:color w:val="000000"/>
                <w:sz w:val="20"/>
                <w:szCs w:val="20"/>
              </w:rPr>
              <w:t xml:space="preserve">9th of May 2007, 1st of August 2007 and 15th of January 2010 </w:t>
            </w:r>
          </w:p>
        </w:tc>
        <w:tc>
          <w:tcPr>
            <w:tcW w:w="953" w:type="dxa"/>
            <w:tcBorders>
              <w:top w:val="nil"/>
              <w:left w:val="nil"/>
              <w:bottom w:val="single" w:sz="4" w:space="0" w:color="auto"/>
              <w:right w:val="single" w:sz="4" w:space="0" w:color="auto"/>
            </w:tcBorders>
            <w:shd w:val="clear" w:color="auto" w:fill="ABD9F8" w:themeFill="accent1" w:themeFillTint="66"/>
            <w:vAlign w:val="center"/>
          </w:tcPr>
          <w:p w:rsidR="0088377E" w:rsidRPr="002B4065" w:rsidRDefault="0088377E" w:rsidP="0005094B">
            <w:pPr>
              <w:rPr>
                <w:rFonts w:cstheme="minorHAnsi"/>
                <w:color w:val="000000"/>
                <w:sz w:val="20"/>
                <w:szCs w:val="20"/>
              </w:rPr>
            </w:pPr>
            <w:r w:rsidRPr="002B4065">
              <w:rPr>
                <w:rFonts w:cstheme="minorHAnsi"/>
                <w:color w:val="000000"/>
                <w:sz w:val="20"/>
                <w:szCs w:val="20"/>
              </w:rPr>
              <w:t>1 day each</w:t>
            </w:r>
          </w:p>
        </w:tc>
        <w:tc>
          <w:tcPr>
            <w:tcW w:w="1397" w:type="dxa"/>
            <w:tcBorders>
              <w:top w:val="nil"/>
              <w:left w:val="nil"/>
              <w:bottom w:val="single" w:sz="4" w:space="0" w:color="auto"/>
              <w:right w:val="single" w:sz="4" w:space="0" w:color="auto"/>
            </w:tcBorders>
            <w:shd w:val="clear" w:color="auto" w:fill="ABD9F8" w:themeFill="accent1" w:themeFillTint="66"/>
            <w:vAlign w:val="center"/>
          </w:tcPr>
          <w:p w:rsidR="0088377E" w:rsidRPr="002B4065" w:rsidRDefault="0088377E" w:rsidP="0005094B">
            <w:pPr>
              <w:rPr>
                <w:rFonts w:cstheme="minorHAnsi"/>
                <w:color w:val="000000"/>
                <w:sz w:val="20"/>
                <w:szCs w:val="20"/>
              </w:rPr>
            </w:pPr>
            <w:r w:rsidRPr="002B4065">
              <w:rPr>
                <w:rFonts w:cstheme="minorHAnsi"/>
                <w:color w:val="000000"/>
                <w:sz w:val="20"/>
                <w:szCs w:val="20"/>
              </w:rPr>
              <w:t>Don't know</w:t>
            </w:r>
          </w:p>
        </w:tc>
        <w:tc>
          <w:tcPr>
            <w:tcW w:w="1599" w:type="dxa"/>
            <w:tcBorders>
              <w:top w:val="nil"/>
              <w:left w:val="nil"/>
              <w:bottom w:val="single" w:sz="4" w:space="0" w:color="auto"/>
              <w:right w:val="single" w:sz="4" w:space="0" w:color="auto"/>
            </w:tcBorders>
            <w:shd w:val="clear" w:color="auto" w:fill="ABD9F8" w:themeFill="accent1" w:themeFillTint="66"/>
            <w:vAlign w:val="center"/>
          </w:tcPr>
          <w:p w:rsidR="0088377E" w:rsidRPr="002B4065" w:rsidRDefault="0088377E" w:rsidP="0005094B">
            <w:pPr>
              <w:rPr>
                <w:rFonts w:cstheme="minorHAnsi"/>
                <w:color w:val="000000"/>
                <w:sz w:val="20"/>
                <w:szCs w:val="20"/>
              </w:rPr>
            </w:pPr>
            <w:r w:rsidRPr="002B4065">
              <w:rPr>
                <w:rFonts w:cstheme="minorHAnsi"/>
                <w:color w:val="000000"/>
                <w:sz w:val="20"/>
                <w:szCs w:val="20"/>
              </w:rPr>
              <w:t>Don't know</w:t>
            </w:r>
          </w:p>
        </w:tc>
      </w:tr>
      <w:tr w:rsidR="0088377E" w:rsidTr="0005094B">
        <w:tc>
          <w:tcPr>
            <w:tcW w:w="508" w:type="dxa"/>
            <w:vAlign w:val="center"/>
          </w:tcPr>
          <w:p w:rsidR="0088377E" w:rsidRPr="00987122" w:rsidRDefault="0088377E" w:rsidP="0005094B">
            <w:pPr>
              <w:rPr>
                <w:rFonts w:cstheme="minorHAnsi"/>
                <w:b/>
                <w:i/>
                <w:sz w:val="20"/>
                <w:szCs w:val="20"/>
              </w:rPr>
            </w:pPr>
            <w:r w:rsidRPr="00987122">
              <w:rPr>
                <w:rFonts w:cstheme="minorHAnsi"/>
                <w:b/>
                <w:i/>
                <w:sz w:val="20"/>
                <w:szCs w:val="20"/>
              </w:rPr>
              <w:t>33</w:t>
            </w:r>
          </w:p>
        </w:tc>
        <w:tc>
          <w:tcPr>
            <w:tcW w:w="2616" w:type="dxa"/>
            <w:tcBorders>
              <w:top w:val="nil"/>
              <w:left w:val="single" w:sz="4" w:space="0" w:color="auto"/>
              <w:bottom w:val="single" w:sz="4" w:space="0" w:color="auto"/>
              <w:right w:val="single" w:sz="4" w:space="0" w:color="auto"/>
            </w:tcBorders>
            <w:shd w:val="clear" w:color="auto" w:fill="auto"/>
            <w:vAlign w:val="center"/>
          </w:tcPr>
          <w:p w:rsidR="0088377E" w:rsidRPr="002B4065" w:rsidRDefault="0088377E" w:rsidP="0005094B">
            <w:pPr>
              <w:rPr>
                <w:rFonts w:cstheme="minorHAnsi"/>
                <w:color w:val="000000"/>
                <w:sz w:val="20"/>
                <w:szCs w:val="20"/>
              </w:rPr>
            </w:pPr>
            <w:r w:rsidRPr="002B4065">
              <w:rPr>
                <w:rFonts w:cstheme="minorHAnsi"/>
                <w:color w:val="000000"/>
                <w:sz w:val="20"/>
                <w:szCs w:val="20"/>
              </w:rPr>
              <w:t>Unipolar Depression Diagnostic</w:t>
            </w:r>
          </w:p>
        </w:tc>
        <w:tc>
          <w:tcPr>
            <w:tcW w:w="1246" w:type="dxa"/>
            <w:tcBorders>
              <w:top w:val="nil"/>
              <w:left w:val="nil"/>
              <w:bottom w:val="single" w:sz="4" w:space="0" w:color="auto"/>
              <w:right w:val="single" w:sz="4" w:space="0" w:color="auto"/>
            </w:tcBorders>
            <w:shd w:val="clear" w:color="auto" w:fill="auto"/>
            <w:vAlign w:val="center"/>
          </w:tcPr>
          <w:p w:rsidR="0088377E" w:rsidRPr="002B4065" w:rsidRDefault="0088377E" w:rsidP="0005094B">
            <w:pPr>
              <w:rPr>
                <w:rFonts w:cstheme="minorHAnsi"/>
                <w:color w:val="000000"/>
                <w:sz w:val="20"/>
                <w:szCs w:val="20"/>
              </w:rPr>
            </w:pPr>
            <w:r w:rsidRPr="002B4065">
              <w:rPr>
                <w:rFonts w:cstheme="minorHAnsi"/>
                <w:color w:val="000000"/>
                <w:sz w:val="20"/>
                <w:szCs w:val="20"/>
              </w:rPr>
              <w:t>Consensus Conference</w:t>
            </w:r>
          </w:p>
        </w:tc>
        <w:tc>
          <w:tcPr>
            <w:tcW w:w="1933" w:type="dxa"/>
            <w:tcBorders>
              <w:top w:val="nil"/>
              <w:left w:val="nil"/>
              <w:bottom w:val="single" w:sz="4" w:space="0" w:color="auto"/>
              <w:right w:val="single" w:sz="4" w:space="0" w:color="auto"/>
            </w:tcBorders>
            <w:shd w:val="clear" w:color="auto" w:fill="auto"/>
            <w:vAlign w:val="center"/>
          </w:tcPr>
          <w:p w:rsidR="0088377E" w:rsidRPr="002B4065" w:rsidRDefault="0088377E" w:rsidP="0005094B">
            <w:pPr>
              <w:rPr>
                <w:rFonts w:cstheme="minorHAnsi"/>
                <w:color w:val="000000"/>
                <w:sz w:val="20"/>
                <w:szCs w:val="20"/>
              </w:rPr>
            </w:pPr>
            <w:r w:rsidRPr="002B4065">
              <w:rPr>
                <w:rFonts w:cstheme="minorHAnsi"/>
                <w:color w:val="000000"/>
                <w:sz w:val="20"/>
                <w:szCs w:val="20"/>
              </w:rPr>
              <w:t>Don't know</w:t>
            </w:r>
          </w:p>
        </w:tc>
        <w:tc>
          <w:tcPr>
            <w:tcW w:w="947" w:type="dxa"/>
            <w:tcBorders>
              <w:top w:val="nil"/>
              <w:left w:val="nil"/>
              <w:bottom w:val="single" w:sz="4" w:space="0" w:color="auto"/>
              <w:right w:val="single" w:sz="4" w:space="0" w:color="auto"/>
            </w:tcBorders>
            <w:shd w:val="clear" w:color="auto" w:fill="auto"/>
            <w:vAlign w:val="center"/>
          </w:tcPr>
          <w:p w:rsidR="0088377E" w:rsidRPr="002B4065" w:rsidRDefault="0088377E" w:rsidP="0005094B">
            <w:pPr>
              <w:rPr>
                <w:rFonts w:cstheme="minorHAnsi"/>
                <w:color w:val="000000"/>
                <w:sz w:val="20"/>
                <w:szCs w:val="20"/>
              </w:rPr>
            </w:pPr>
            <w:r w:rsidRPr="002B4065">
              <w:rPr>
                <w:rFonts w:cstheme="minorHAnsi"/>
                <w:color w:val="000000"/>
                <w:sz w:val="20"/>
                <w:szCs w:val="20"/>
              </w:rPr>
              <w:t>Don't know</w:t>
            </w:r>
          </w:p>
        </w:tc>
        <w:tc>
          <w:tcPr>
            <w:tcW w:w="953" w:type="dxa"/>
            <w:tcBorders>
              <w:top w:val="nil"/>
              <w:left w:val="nil"/>
              <w:bottom w:val="single" w:sz="4" w:space="0" w:color="auto"/>
              <w:right w:val="single" w:sz="4" w:space="0" w:color="auto"/>
            </w:tcBorders>
            <w:shd w:val="clear" w:color="auto" w:fill="auto"/>
            <w:vAlign w:val="center"/>
          </w:tcPr>
          <w:p w:rsidR="0088377E" w:rsidRPr="002B4065" w:rsidRDefault="0088377E" w:rsidP="0005094B">
            <w:pPr>
              <w:rPr>
                <w:rFonts w:cstheme="minorHAnsi"/>
                <w:color w:val="000000"/>
                <w:sz w:val="20"/>
                <w:szCs w:val="20"/>
              </w:rPr>
            </w:pPr>
            <w:r w:rsidRPr="002B4065">
              <w:rPr>
                <w:rFonts w:cstheme="minorHAnsi"/>
                <w:color w:val="000000"/>
                <w:sz w:val="20"/>
                <w:szCs w:val="20"/>
              </w:rPr>
              <w:t>Don't know</w:t>
            </w:r>
          </w:p>
        </w:tc>
        <w:tc>
          <w:tcPr>
            <w:tcW w:w="1397" w:type="dxa"/>
            <w:tcBorders>
              <w:top w:val="nil"/>
              <w:left w:val="nil"/>
              <w:bottom w:val="single" w:sz="4" w:space="0" w:color="auto"/>
              <w:right w:val="single" w:sz="4" w:space="0" w:color="auto"/>
            </w:tcBorders>
            <w:shd w:val="clear" w:color="auto" w:fill="auto"/>
            <w:vAlign w:val="center"/>
          </w:tcPr>
          <w:p w:rsidR="0088377E" w:rsidRPr="002B4065" w:rsidRDefault="0088377E" w:rsidP="0005094B">
            <w:pPr>
              <w:rPr>
                <w:rFonts w:cstheme="minorHAnsi"/>
                <w:color w:val="000000"/>
                <w:sz w:val="20"/>
                <w:szCs w:val="20"/>
              </w:rPr>
            </w:pPr>
            <w:r w:rsidRPr="002B4065">
              <w:rPr>
                <w:rFonts w:cstheme="minorHAnsi"/>
                <w:color w:val="000000"/>
                <w:sz w:val="20"/>
                <w:szCs w:val="20"/>
              </w:rPr>
              <w:t>Don't know</w:t>
            </w:r>
          </w:p>
        </w:tc>
        <w:tc>
          <w:tcPr>
            <w:tcW w:w="1599" w:type="dxa"/>
            <w:tcBorders>
              <w:top w:val="nil"/>
              <w:left w:val="nil"/>
              <w:bottom w:val="single" w:sz="4" w:space="0" w:color="auto"/>
              <w:right w:val="single" w:sz="4" w:space="0" w:color="auto"/>
            </w:tcBorders>
            <w:shd w:val="clear" w:color="auto" w:fill="auto"/>
            <w:vAlign w:val="center"/>
          </w:tcPr>
          <w:p w:rsidR="0088377E" w:rsidRPr="002B4065" w:rsidRDefault="0088377E" w:rsidP="0005094B">
            <w:pPr>
              <w:rPr>
                <w:rFonts w:cstheme="minorHAnsi"/>
                <w:color w:val="000000"/>
                <w:sz w:val="20"/>
                <w:szCs w:val="20"/>
              </w:rPr>
            </w:pPr>
            <w:r w:rsidRPr="002B4065">
              <w:rPr>
                <w:rFonts w:cstheme="minorHAnsi"/>
                <w:color w:val="000000"/>
                <w:sz w:val="20"/>
                <w:szCs w:val="20"/>
              </w:rPr>
              <w:t>Don't know</w:t>
            </w:r>
          </w:p>
        </w:tc>
      </w:tr>
      <w:tr w:rsidR="0088377E" w:rsidTr="0005094B">
        <w:tc>
          <w:tcPr>
            <w:tcW w:w="508" w:type="dxa"/>
            <w:shd w:val="clear" w:color="auto" w:fill="ABD9F8" w:themeFill="accent1" w:themeFillTint="66"/>
            <w:vAlign w:val="center"/>
          </w:tcPr>
          <w:p w:rsidR="0088377E" w:rsidRPr="00987122" w:rsidRDefault="0088377E" w:rsidP="0005094B">
            <w:pPr>
              <w:rPr>
                <w:rFonts w:cstheme="minorHAnsi"/>
                <w:b/>
                <w:i/>
                <w:sz w:val="20"/>
                <w:szCs w:val="20"/>
              </w:rPr>
            </w:pPr>
            <w:r w:rsidRPr="00987122">
              <w:rPr>
                <w:rFonts w:cstheme="minorHAnsi"/>
                <w:b/>
                <w:i/>
                <w:sz w:val="20"/>
                <w:szCs w:val="20"/>
              </w:rPr>
              <w:t>34</w:t>
            </w:r>
          </w:p>
        </w:tc>
        <w:tc>
          <w:tcPr>
            <w:tcW w:w="2616" w:type="dxa"/>
            <w:tcBorders>
              <w:top w:val="nil"/>
              <w:left w:val="single" w:sz="4" w:space="0" w:color="auto"/>
              <w:bottom w:val="single" w:sz="4" w:space="0" w:color="auto"/>
              <w:right w:val="single" w:sz="4" w:space="0" w:color="auto"/>
            </w:tcBorders>
            <w:shd w:val="clear" w:color="auto" w:fill="ABD9F8" w:themeFill="accent1" w:themeFillTint="66"/>
            <w:vAlign w:val="center"/>
          </w:tcPr>
          <w:p w:rsidR="0088377E" w:rsidRPr="002B4065" w:rsidRDefault="0088377E" w:rsidP="0005094B">
            <w:pPr>
              <w:rPr>
                <w:rFonts w:cstheme="minorHAnsi"/>
                <w:color w:val="000000"/>
                <w:sz w:val="20"/>
                <w:szCs w:val="20"/>
              </w:rPr>
            </w:pPr>
            <w:r w:rsidRPr="002B4065">
              <w:rPr>
                <w:rFonts w:cstheme="minorHAnsi"/>
                <w:color w:val="000000"/>
                <w:sz w:val="20"/>
                <w:szCs w:val="20"/>
              </w:rPr>
              <w:t>Evaluating complex evaluations in health</w:t>
            </w:r>
          </w:p>
        </w:tc>
        <w:tc>
          <w:tcPr>
            <w:tcW w:w="1246" w:type="dxa"/>
            <w:tcBorders>
              <w:top w:val="nil"/>
              <w:left w:val="nil"/>
              <w:bottom w:val="single" w:sz="4" w:space="0" w:color="auto"/>
              <w:right w:val="single" w:sz="4" w:space="0" w:color="auto"/>
            </w:tcBorders>
            <w:shd w:val="clear" w:color="auto" w:fill="ABD9F8" w:themeFill="accent1" w:themeFillTint="66"/>
            <w:vAlign w:val="center"/>
          </w:tcPr>
          <w:p w:rsidR="0088377E" w:rsidRPr="002B4065" w:rsidRDefault="0088377E" w:rsidP="0005094B">
            <w:pPr>
              <w:rPr>
                <w:rFonts w:cstheme="minorHAnsi"/>
                <w:color w:val="000000"/>
                <w:sz w:val="20"/>
                <w:szCs w:val="20"/>
              </w:rPr>
            </w:pPr>
            <w:r w:rsidRPr="002B4065">
              <w:rPr>
                <w:rFonts w:cstheme="minorHAnsi"/>
                <w:color w:val="000000"/>
                <w:sz w:val="20"/>
                <w:szCs w:val="20"/>
              </w:rPr>
              <w:t>Consensus Conference</w:t>
            </w:r>
          </w:p>
        </w:tc>
        <w:tc>
          <w:tcPr>
            <w:tcW w:w="1933" w:type="dxa"/>
            <w:tcBorders>
              <w:top w:val="nil"/>
              <w:left w:val="nil"/>
              <w:bottom w:val="single" w:sz="4" w:space="0" w:color="auto"/>
              <w:right w:val="single" w:sz="4" w:space="0" w:color="auto"/>
            </w:tcBorders>
            <w:shd w:val="clear" w:color="auto" w:fill="ABD9F8" w:themeFill="accent1" w:themeFillTint="66"/>
            <w:vAlign w:val="center"/>
          </w:tcPr>
          <w:p w:rsidR="0088377E" w:rsidRPr="002B4065" w:rsidRDefault="0088377E" w:rsidP="0005094B">
            <w:pPr>
              <w:rPr>
                <w:rFonts w:cstheme="minorHAnsi"/>
                <w:color w:val="000000"/>
                <w:sz w:val="20"/>
                <w:szCs w:val="20"/>
              </w:rPr>
            </w:pPr>
            <w:r w:rsidRPr="002B4065">
              <w:rPr>
                <w:rFonts w:cstheme="minorHAnsi"/>
                <w:color w:val="000000"/>
                <w:sz w:val="20"/>
                <w:szCs w:val="20"/>
              </w:rPr>
              <w:t>Don't know</w:t>
            </w:r>
          </w:p>
        </w:tc>
        <w:tc>
          <w:tcPr>
            <w:tcW w:w="947" w:type="dxa"/>
            <w:tcBorders>
              <w:top w:val="nil"/>
              <w:left w:val="nil"/>
              <w:bottom w:val="single" w:sz="4" w:space="0" w:color="auto"/>
              <w:right w:val="single" w:sz="4" w:space="0" w:color="auto"/>
            </w:tcBorders>
            <w:shd w:val="clear" w:color="auto" w:fill="ABD9F8" w:themeFill="accent1" w:themeFillTint="66"/>
            <w:vAlign w:val="center"/>
          </w:tcPr>
          <w:p w:rsidR="0088377E" w:rsidRPr="002B4065" w:rsidRDefault="0088377E" w:rsidP="0005094B">
            <w:pPr>
              <w:rPr>
                <w:rFonts w:cstheme="minorHAnsi"/>
                <w:color w:val="000000"/>
                <w:sz w:val="20"/>
                <w:szCs w:val="20"/>
              </w:rPr>
            </w:pPr>
            <w:r w:rsidRPr="002B4065">
              <w:rPr>
                <w:rFonts w:cstheme="minorHAnsi"/>
                <w:color w:val="000000"/>
                <w:sz w:val="20"/>
                <w:szCs w:val="20"/>
              </w:rPr>
              <w:t>Don't know</w:t>
            </w:r>
          </w:p>
        </w:tc>
        <w:tc>
          <w:tcPr>
            <w:tcW w:w="953" w:type="dxa"/>
            <w:tcBorders>
              <w:top w:val="nil"/>
              <w:left w:val="nil"/>
              <w:bottom w:val="single" w:sz="4" w:space="0" w:color="auto"/>
              <w:right w:val="single" w:sz="4" w:space="0" w:color="auto"/>
            </w:tcBorders>
            <w:shd w:val="clear" w:color="auto" w:fill="ABD9F8" w:themeFill="accent1" w:themeFillTint="66"/>
            <w:vAlign w:val="center"/>
          </w:tcPr>
          <w:p w:rsidR="0088377E" w:rsidRPr="002B4065" w:rsidRDefault="0088377E" w:rsidP="0005094B">
            <w:pPr>
              <w:rPr>
                <w:rFonts w:cstheme="minorHAnsi"/>
                <w:color w:val="000000"/>
                <w:sz w:val="20"/>
                <w:szCs w:val="20"/>
              </w:rPr>
            </w:pPr>
            <w:r w:rsidRPr="002B4065">
              <w:rPr>
                <w:rFonts w:cstheme="minorHAnsi"/>
                <w:color w:val="000000"/>
                <w:sz w:val="20"/>
                <w:szCs w:val="20"/>
              </w:rPr>
              <w:t>1 day</w:t>
            </w:r>
          </w:p>
        </w:tc>
        <w:tc>
          <w:tcPr>
            <w:tcW w:w="1397" w:type="dxa"/>
            <w:tcBorders>
              <w:top w:val="nil"/>
              <w:left w:val="nil"/>
              <w:bottom w:val="single" w:sz="4" w:space="0" w:color="auto"/>
              <w:right w:val="single" w:sz="4" w:space="0" w:color="auto"/>
            </w:tcBorders>
            <w:shd w:val="clear" w:color="auto" w:fill="ABD9F8" w:themeFill="accent1" w:themeFillTint="66"/>
            <w:vAlign w:val="center"/>
          </w:tcPr>
          <w:p w:rsidR="0088377E" w:rsidRPr="002B4065" w:rsidRDefault="0088377E" w:rsidP="0005094B">
            <w:pPr>
              <w:rPr>
                <w:rFonts w:cstheme="minorHAnsi"/>
                <w:color w:val="000000"/>
                <w:sz w:val="20"/>
                <w:szCs w:val="20"/>
              </w:rPr>
            </w:pPr>
            <w:r w:rsidRPr="002B4065">
              <w:rPr>
                <w:rFonts w:cstheme="minorHAnsi"/>
                <w:color w:val="000000"/>
                <w:sz w:val="20"/>
                <w:szCs w:val="20"/>
              </w:rPr>
              <w:t>No citizens - 45 "expert" attendees</w:t>
            </w:r>
          </w:p>
        </w:tc>
        <w:tc>
          <w:tcPr>
            <w:tcW w:w="1599" w:type="dxa"/>
            <w:tcBorders>
              <w:top w:val="nil"/>
              <w:left w:val="nil"/>
              <w:bottom w:val="single" w:sz="4" w:space="0" w:color="auto"/>
              <w:right w:val="single" w:sz="4" w:space="0" w:color="auto"/>
            </w:tcBorders>
            <w:shd w:val="clear" w:color="auto" w:fill="ABD9F8" w:themeFill="accent1" w:themeFillTint="66"/>
            <w:vAlign w:val="center"/>
          </w:tcPr>
          <w:p w:rsidR="0088377E" w:rsidRPr="002B4065" w:rsidRDefault="0088377E" w:rsidP="0005094B">
            <w:pPr>
              <w:rPr>
                <w:rFonts w:cstheme="minorHAnsi"/>
                <w:color w:val="000000"/>
                <w:sz w:val="20"/>
                <w:szCs w:val="20"/>
              </w:rPr>
            </w:pPr>
            <w:r w:rsidRPr="002B4065">
              <w:rPr>
                <w:rFonts w:cstheme="minorHAnsi"/>
                <w:color w:val="000000"/>
                <w:sz w:val="20"/>
                <w:szCs w:val="20"/>
              </w:rPr>
              <w:t>Don't know</w:t>
            </w:r>
          </w:p>
        </w:tc>
      </w:tr>
      <w:tr w:rsidR="0088377E" w:rsidTr="0005094B">
        <w:tc>
          <w:tcPr>
            <w:tcW w:w="508" w:type="dxa"/>
            <w:vAlign w:val="center"/>
          </w:tcPr>
          <w:p w:rsidR="0088377E" w:rsidRPr="00987122" w:rsidRDefault="0088377E" w:rsidP="0005094B">
            <w:pPr>
              <w:rPr>
                <w:rFonts w:cstheme="minorHAnsi"/>
                <w:b/>
                <w:i/>
                <w:sz w:val="20"/>
                <w:szCs w:val="20"/>
              </w:rPr>
            </w:pPr>
            <w:r w:rsidRPr="00987122">
              <w:rPr>
                <w:rFonts w:cstheme="minorHAnsi"/>
                <w:b/>
                <w:i/>
                <w:sz w:val="20"/>
                <w:szCs w:val="20"/>
              </w:rPr>
              <w:t>35</w:t>
            </w:r>
          </w:p>
        </w:tc>
        <w:tc>
          <w:tcPr>
            <w:tcW w:w="2616" w:type="dxa"/>
            <w:tcBorders>
              <w:top w:val="nil"/>
              <w:left w:val="single" w:sz="4" w:space="0" w:color="auto"/>
              <w:bottom w:val="single" w:sz="4" w:space="0" w:color="auto"/>
              <w:right w:val="single" w:sz="4" w:space="0" w:color="auto"/>
            </w:tcBorders>
            <w:shd w:val="clear" w:color="auto" w:fill="auto"/>
            <w:vAlign w:val="center"/>
          </w:tcPr>
          <w:p w:rsidR="0088377E" w:rsidRPr="002B4065" w:rsidRDefault="0088377E" w:rsidP="0005094B">
            <w:pPr>
              <w:rPr>
                <w:rFonts w:cstheme="minorHAnsi"/>
                <w:color w:val="000000"/>
                <w:sz w:val="20"/>
                <w:szCs w:val="20"/>
              </w:rPr>
            </w:pPr>
            <w:r w:rsidRPr="002B4065">
              <w:rPr>
                <w:rFonts w:cstheme="minorHAnsi"/>
                <w:color w:val="000000"/>
                <w:sz w:val="20"/>
                <w:szCs w:val="20"/>
              </w:rPr>
              <w:t>Chronic disease</w:t>
            </w:r>
          </w:p>
        </w:tc>
        <w:tc>
          <w:tcPr>
            <w:tcW w:w="1246" w:type="dxa"/>
            <w:tcBorders>
              <w:top w:val="nil"/>
              <w:left w:val="nil"/>
              <w:bottom w:val="single" w:sz="4" w:space="0" w:color="auto"/>
              <w:right w:val="single" w:sz="4" w:space="0" w:color="auto"/>
            </w:tcBorders>
            <w:shd w:val="clear" w:color="auto" w:fill="auto"/>
            <w:vAlign w:val="center"/>
          </w:tcPr>
          <w:p w:rsidR="0088377E" w:rsidRPr="002B4065" w:rsidRDefault="0088377E" w:rsidP="0005094B">
            <w:pPr>
              <w:rPr>
                <w:rFonts w:cstheme="minorHAnsi"/>
                <w:color w:val="000000"/>
                <w:sz w:val="20"/>
                <w:szCs w:val="20"/>
              </w:rPr>
            </w:pPr>
            <w:r w:rsidRPr="002B4065">
              <w:rPr>
                <w:rFonts w:cstheme="minorHAnsi"/>
                <w:color w:val="000000"/>
                <w:sz w:val="20"/>
                <w:szCs w:val="20"/>
              </w:rPr>
              <w:t>Consensus Conference</w:t>
            </w:r>
          </w:p>
        </w:tc>
        <w:tc>
          <w:tcPr>
            <w:tcW w:w="1933" w:type="dxa"/>
            <w:tcBorders>
              <w:top w:val="nil"/>
              <w:left w:val="nil"/>
              <w:bottom w:val="single" w:sz="4" w:space="0" w:color="auto"/>
              <w:right w:val="single" w:sz="4" w:space="0" w:color="auto"/>
            </w:tcBorders>
            <w:shd w:val="clear" w:color="auto" w:fill="auto"/>
            <w:vAlign w:val="center"/>
          </w:tcPr>
          <w:p w:rsidR="0088377E" w:rsidRPr="002B4065" w:rsidRDefault="0088377E" w:rsidP="0005094B">
            <w:pPr>
              <w:rPr>
                <w:rFonts w:cstheme="minorHAnsi"/>
                <w:color w:val="000000"/>
                <w:sz w:val="20"/>
                <w:szCs w:val="20"/>
              </w:rPr>
            </w:pPr>
            <w:r w:rsidRPr="002B4065">
              <w:rPr>
                <w:rFonts w:cstheme="minorHAnsi"/>
                <w:color w:val="000000"/>
                <w:sz w:val="20"/>
                <w:szCs w:val="20"/>
              </w:rPr>
              <w:t>Berlin</w:t>
            </w:r>
          </w:p>
        </w:tc>
        <w:tc>
          <w:tcPr>
            <w:tcW w:w="947" w:type="dxa"/>
            <w:tcBorders>
              <w:top w:val="nil"/>
              <w:left w:val="nil"/>
              <w:bottom w:val="single" w:sz="4" w:space="0" w:color="auto"/>
              <w:right w:val="single" w:sz="4" w:space="0" w:color="auto"/>
            </w:tcBorders>
            <w:shd w:val="clear" w:color="auto" w:fill="auto"/>
            <w:vAlign w:val="center"/>
          </w:tcPr>
          <w:p w:rsidR="0088377E" w:rsidRPr="002B4065" w:rsidRDefault="0088377E" w:rsidP="0005094B">
            <w:pPr>
              <w:rPr>
                <w:rFonts w:cstheme="minorHAnsi"/>
                <w:color w:val="000000"/>
                <w:sz w:val="20"/>
                <w:szCs w:val="20"/>
              </w:rPr>
            </w:pPr>
            <w:r w:rsidRPr="002B4065">
              <w:rPr>
                <w:rFonts w:cstheme="minorHAnsi"/>
                <w:color w:val="000000"/>
                <w:sz w:val="20"/>
                <w:szCs w:val="20"/>
              </w:rPr>
              <w:t>15 - 16 March 2011</w:t>
            </w:r>
          </w:p>
        </w:tc>
        <w:tc>
          <w:tcPr>
            <w:tcW w:w="953" w:type="dxa"/>
            <w:tcBorders>
              <w:top w:val="nil"/>
              <w:left w:val="nil"/>
              <w:bottom w:val="single" w:sz="4" w:space="0" w:color="auto"/>
              <w:right w:val="single" w:sz="4" w:space="0" w:color="auto"/>
            </w:tcBorders>
            <w:shd w:val="clear" w:color="auto" w:fill="auto"/>
            <w:vAlign w:val="center"/>
          </w:tcPr>
          <w:p w:rsidR="0088377E" w:rsidRPr="002B4065" w:rsidRDefault="0088377E" w:rsidP="0005094B">
            <w:pPr>
              <w:rPr>
                <w:rFonts w:cstheme="minorHAnsi"/>
                <w:color w:val="000000"/>
                <w:sz w:val="20"/>
                <w:szCs w:val="20"/>
              </w:rPr>
            </w:pPr>
            <w:r w:rsidRPr="002B4065">
              <w:rPr>
                <w:rFonts w:cstheme="minorHAnsi"/>
                <w:color w:val="000000"/>
                <w:sz w:val="20"/>
                <w:szCs w:val="20"/>
              </w:rPr>
              <w:t>2 days</w:t>
            </w:r>
          </w:p>
        </w:tc>
        <w:tc>
          <w:tcPr>
            <w:tcW w:w="1397" w:type="dxa"/>
            <w:tcBorders>
              <w:top w:val="nil"/>
              <w:left w:val="nil"/>
              <w:bottom w:val="single" w:sz="4" w:space="0" w:color="auto"/>
              <w:right w:val="single" w:sz="4" w:space="0" w:color="auto"/>
            </w:tcBorders>
            <w:shd w:val="clear" w:color="auto" w:fill="auto"/>
            <w:vAlign w:val="center"/>
          </w:tcPr>
          <w:p w:rsidR="0088377E" w:rsidRPr="002B4065" w:rsidRDefault="0088377E" w:rsidP="0005094B">
            <w:pPr>
              <w:rPr>
                <w:rFonts w:cstheme="minorHAnsi"/>
                <w:color w:val="000000"/>
                <w:sz w:val="20"/>
                <w:szCs w:val="20"/>
              </w:rPr>
            </w:pPr>
            <w:r w:rsidRPr="002B4065">
              <w:rPr>
                <w:rFonts w:cstheme="minorHAnsi"/>
                <w:color w:val="000000"/>
                <w:sz w:val="20"/>
                <w:szCs w:val="20"/>
              </w:rPr>
              <w:t>No citizens - 36 medical professionals and academics</w:t>
            </w:r>
          </w:p>
        </w:tc>
        <w:tc>
          <w:tcPr>
            <w:tcW w:w="1599" w:type="dxa"/>
            <w:tcBorders>
              <w:top w:val="nil"/>
              <w:left w:val="nil"/>
              <w:bottom w:val="single" w:sz="4" w:space="0" w:color="auto"/>
              <w:right w:val="single" w:sz="4" w:space="0" w:color="auto"/>
            </w:tcBorders>
            <w:shd w:val="clear" w:color="auto" w:fill="auto"/>
            <w:vAlign w:val="center"/>
          </w:tcPr>
          <w:p w:rsidR="0088377E" w:rsidRPr="002B4065" w:rsidRDefault="0088377E" w:rsidP="0005094B">
            <w:pPr>
              <w:rPr>
                <w:rFonts w:cstheme="minorHAnsi"/>
                <w:color w:val="000000"/>
                <w:sz w:val="20"/>
                <w:szCs w:val="20"/>
              </w:rPr>
            </w:pPr>
            <w:r w:rsidRPr="002B4065">
              <w:rPr>
                <w:rFonts w:cstheme="minorHAnsi"/>
                <w:color w:val="000000"/>
                <w:sz w:val="20"/>
                <w:szCs w:val="20"/>
              </w:rPr>
              <w:t>Don't know</w:t>
            </w:r>
          </w:p>
        </w:tc>
      </w:tr>
      <w:tr w:rsidR="0088377E" w:rsidTr="0005094B">
        <w:tc>
          <w:tcPr>
            <w:tcW w:w="508" w:type="dxa"/>
            <w:shd w:val="clear" w:color="auto" w:fill="ABD9F8" w:themeFill="accent1" w:themeFillTint="66"/>
            <w:vAlign w:val="center"/>
          </w:tcPr>
          <w:p w:rsidR="0088377E" w:rsidRPr="00987122" w:rsidRDefault="0088377E" w:rsidP="0005094B">
            <w:pPr>
              <w:rPr>
                <w:rFonts w:cstheme="minorHAnsi"/>
                <w:b/>
                <w:i/>
                <w:sz w:val="20"/>
                <w:szCs w:val="20"/>
              </w:rPr>
            </w:pPr>
            <w:r w:rsidRPr="00987122">
              <w:rPr>
                <w:rFonts w:cstheme="minorHAnsi"/>
                <w:b/>
                <w:i/>
                <w:sz w:val="20"/>
                <w:szCs w:val="20"/>
              </w:rPr>
              <w:t>36</w:t>
            </w:r>
          </w:p>
        </w:tc>
        <w:tc>
          <w:tcPr>
            <w:tcW w:w="2616" w:type="dxa"/>
            <w:tcBorders>
              <w:top w:val="nil"/>
              <w:left w:val="single" w:sz="4" w:space="0" w:color="auto"/>
              <w:bottom w:val="single" w:sz="4" w:space="0" w:color="auto"/>
              <w:right w:val="single" w:sz="4" w:space="0" w:color="auto"/>
            </w:tcBorders>
            <w:shd w:val="clear" w:color="auto" w:fill="ABD9F8" w:themeFill="accent1" w:themeFillTint="66"/>
            <w:vAlign w:val="center"/>
          </w:tcPr>
          <w:p w:rsidR="0088377E" w:rsidRPr="002B4065" w:rsidRDefault="0088377E" w:rsidP="0005094B">
            <w:pPr>
              <w:rPr>
                <w:rFonts w:cstheme="minorHAnsi"/>
                <w:color w:val="000000"/>
                <w:sz w:val="20"/>
                <w:szCs w:val="20"/>
              </w:rPr>
            </w:pPr>
            <w:r w:rsidRPr="002B4065">
              <w:rPr>
                <w:rFonts w:cstheme="minorHAnsi"/>
                <w:color w:val="000000"/>
                <w:sz w:val="20"/>
                <w:szCs w:val="20"/>
              </w:rPr>
              <w:t>Concussion in sport</w:t>
            </w:r>
          </w:p>
        </w:tc>
        <w:tc>
          <w:tcPr>
            <w:tcW w:w="1246" w:type="dxa"/>
            <w:tcBorders>
              <w:top w:val="nil"/>
              <w:left w:val="nil"/>
              <w:bottom w:val="single" w:sz="4" w:space="0" w:color="auto"/>
              <w:right w:val="single" w:sz="4" w:space="0" w:color="auto"/>
            </w:tcBorders>
            <w:shd w:val="clear" w:color="auto" w:fill="ABD9F8" w:themeFill="accent1" w:themeFillTint="66"/>
            <w:vAlign w:val="center"/>
          </w:tcPr>
          <w:p w:rsidR="0088377E" w:rsidRPr="002B4065" w:rsidRDefault="0088377E" w:rsidP="0005094B">
            <w:pPr>
              <w:rPr>
                <w:rFonts w:cstheme="minorHAnsi"/>
                <w:color w:val="000000"/>
                <w:sz w:val="20"/>
                <w:szCs w:val="20"/>
              </w:rPr>
            </w:pPr>
            <w:r w:rsidRPr="002B4065">
              <w:rPr>
                <w:rFonts w:cstheme="minorHAnsi"/>
                <w:color w:val="000000"/>
                <w:sz w:val="20"/>
                <w:szCs w:val="20"/>
              </w:rPr>
              <w:t>Consensus Conference</w:t>
            </w:r>
          </w:p>
        </w:tc>
        <w:tc>
          <w:tcPr>
            <w:tcW w:w="1933" w:type="dxa"/>
            <w:tcBorders>
              <w:top w:val="nil"/>
              <w:left w:val="nil"/>
              <w:bottom w:val="single" w:sz="4" w:space="0" w:color="auto"/>
              <w:right w:val="single" w:sz="4" w:space="0" w:color="auto"/>
            </w:tcBorders>
            <w:shd w:val="clear" w:color="auto" w:fill="ABD9F8" w:themeFill="accent1" w:themeFillTint="66"/>
            <w:vAlign w:val="center"/>
          </w:tcPr>
          <w:p w:rsidR="0088377E" w:rsidRPr="002B4065" w:rsidRDefault="0088377E" w:rsidP="0005094B">
            <w:pPr>
              <w:rPr>
                <w:rFonts w:cstheme="minorHAnsi"/>
                <w:color w:val="000000"/>
                <w:sz w:val="20"/>
                <w:szCs w:val="20"/>
              </w:rPr>
            </w:pPr>
            <w:r w:rsidRPr="002B4065">
              <w:rPr>
                <w:rFonts w:cstheme="minorHAnsi"/>
                <w:color w:val="000000"/>
                <w:sz w:val="20"/>
                <w:szCs w:val="20"/>
              </w:rPr>
              <w:t>Berlin</w:t>
            </w:r>
          </w:p>
        </w:tc>
        <w:tc>
          <w:tcPr>
            <w:tcW w:w="947" w:type="dxa"/>
            <w:tcBorders>
              <w:top w:val="nil"/>
              <w:left w:val="nil"/>
              <w:bottom w:val="single" w:sz="4" w:space="0" w:color="auto"/>
              <w:right w:val="single" w:sz="4" w:space="0" w:color="auto"/>
            </w:tcBorders>
            <w:shd w:val="clear" w:color="auto" w:fill="ABD9F8" w:themeFill="accent1" w:themeFillTint="66"/>
            <w:vAlign w:val="center"/>
          </w:tcPr>
          <w:p w:rsidR="0088377E" w:rsidRPr="002B4065" w:rsidRDefault="0088377E" w:rsidP="0005094B">
            <w:pPr>
              <w:rPr>
                <w:rFonts w:cstheme="minorHAnsi"/>
                <w:color w:val="000000"/>
                <w:sz w:val="20"/>
                <w:szCs w:val="20"/>
              </w:rPr>
            </w:pPr>
            <w:r w:rsidRPr="002B4065">
              <w:rPr>
                <w:rFonts w:cstheme="minorHAnsi"/>
                <w:color w:val="000000"/>
                <w:sz w:val="20"/>
                <w:szCs w:val="20"/>
              </w:rPr>
              <w:t>27 - 28 October 2016</w:t>
            </w:r>
          </w:p>
        </w:tc>
        <w:tc>
          <w:tcPr>
            <w:tcW w:w="953" w:type="dxa"/>
            <w:tcBorders>
              <w:top w:val="nil"/>
              <w:left w:val="nil"/>
              <w:bottom w:val="single" w:sz="4" w:space="0" w:color="auto"/>
              <w:right w:val="single" w:sz="4" w:space="0" w:color="auto"/>
            </w:tcBorders>
            <w:shd w:val="clear" w:color="auto" w:fill="ABD9F8" w:themeFill="accent1" w:themeFillTint="66"/>
            <w:vAlign w:val="center"/>
          </w:tcPr>
          <w:p w:rsidR="0088377E" w:rsidRPr="002B4065" w:rsidRDefault="0088377E" w:rsidP="0005094B">
            <w:pPr>
              <w:rPr>
                <w:rFonts w:cstheme="minorHAnsi"/>
                <w:color w:val="000000"/>
                <w:sz w:val="20"/>
                <w:szCs w:val="20"/>
              </w:rPr>
            </w:pPr>
            <w:r w:rsidRPr="002B4065">
              <w:rPr>
                <w:rFonts w:cstheme="minorHAnsi"/>
                <w:color w:val="000000"/>
                <w:sz w:val="20"/>
                <w:szCs w:val="20"/>
              </w:rPr>
              <w:t>2 days</w:t>
            </w:r>
          </w:p>
        </w:tc>
        <w:tc>
          <w:tcPr>
            <w:tcW w:w="1397" w:type="dxa"/>
            <w:tcBorders>
              <w:top w:val="nil"/>
              <w:left w:val="nil"/>
              <w:bottom w:val="single" w:sz="4" w:space="0" w:color="auto"/>
              <w:right w:val="single" w:sz="4" w:space="0" w:color="auto"/>
            </w:tcBorders>
            <w:shd w:val="clear" w:color="auto" w:fill="ABD9F8" w:themeFill="accent1" w:themeFillTint="66"/>
            <w:vAlign w:val="center"/>
          </w:tcPr>
          <w:p w:rsidR="0088377E" w:rsidRPr="002B4065" w:rsidRDefault="0088377E" w:rsidP="0005094B">
            <w:pPr>
              <w:rPr>
                <w:rFonts w:cstheme="minorHAnsi"/>
                <w:color w:val="000000"/>
                <w:sz w:val="20"/>
                <w:szCs w:val="20"/>
              </w:rPr>
            </w:pPr>
            <w:r w:rsidRPr="002B4065">
              <w:rPr>
                <w:rFonts w:cstheme="minorHAnsi"/>
                <w:color w:val="000000"/>
                <w:sz w:val="20"/>
                <w:szCs w:val="20"/>
              </w:rPr>
              <w:t>No citizens - 420 medical professionals and academics</w:t>
            </w:r>
          </w:p>
        </w:tc>
        <w:tc>
          <w:tcPr>
            <w:tcW w:w="1599" w:type="dxa"/>
            <w:tcBorders>
              <w:top w:val="nil"/>
              <w:left w:val="nil"/>
              <w:bottom w:val="single" w:sz="4" w:space="0" w:color="auto"/>
              <w:right w:val="single" w:sz="4" w:space="0" w:color="auto"/>
            </w:tcBorders>
            <w:shd w:val="clear" w:color="auto" w:fill="ABD9F8" w:themeFill="accent1" w:themeFillTint="66"/>
            <w:vAlign w:val="center"/>
          </w:tcPr>
          <w:p w:rsidR="0088377E" w:rsidRPr="002B4065" w:rsidRDefault="0088377E" w:rsidP="0005094B">
            <w:pPr>
              <w:rPr>
                <w:rFonts w:cstheme="minorHAnsi"/>
                <w:color w:val="000000"/>
                <w:sz w:val="20"/>
                <w:szCs w:val="20"/>
              </w:rPr>
            </w:pPr>
            <w:r w:rsidRPr="002B4065">
              <w:rPr>
                <w:rFonts w:cstheme="minorHAnsi"/>
                <w:color w:val="000000"/>
                <w:sz w:val="20"/>
                <w:szCs w:val="20"/>
              </w:rPr>
              <w:t>Don't know</w:t>
            </w:r>
          </w:p>
        </w:tc>
      </w:tr>
      <w:tr w:rsidR="0088377E" w:rsidTr="0005094B">
        <w:tc>
          <w:tcPr>
            <w:tcW w:w="508" w:type="dxa"/>
            <w:vAlign w:val="center"/>
          </w:tcPr>
          <w:p w:rsidR="0088377E" w:rsidRPr="00987122" w:rsidRDefault="0088377E" w:rsidP="0005094B">
            <w:pPr>
              <w:rPr>
                <w:rFonts w:cstheme="minorHAnsi"/>
                <w:b/>
                <w:i/>
                <w:sz w:val="20"/>
                <w:szCs w:val="20"/>
              </w:rPr>
            </w:pPr>
            <w:r w:rsidRPr="00987122">
              <w:rPr>
                <w:rFonts w:cstheme="minorHAnsi"/>
                <w:b/>
                <w:i/>
                <w:sz w:val="20"/>
                <w:szCs w:val="20"/>
              </w:rPr>
              <w:t>37</w:t>
            </w:r>
          </w:p>
        </w:tc>
        <w:tc>
          <w:tcPr>
            <w:tcW w:w="2616" w:type="dxa"/>
            <w:tcBorders>
              <w:top w:val="single" w:sz="4" w:space="0" w:color="auto"/>
              <w:left w:val="single" w:sz="4" w:space="0" w:color="auto"/>
              <w:bottom w:val="single" w:sz="4" w:space="0" w:color="auto"/>
              <w:right w:val="single" w:sz="4" w:space="0" w:color="auto"/>
            </w:tcBorders>
            <w:shd w:val="clear" w:color="auto" w:fill="auto"/>
            <w:vAlign w:val="center"/>
          </w:tcPr>
          <w:p w:rsidR="0088377E" w:rsidRPr="002B4065" w:rsidRDefault="0088377E" w:rsidP="0005094B">
            <w:pPr>
              <w:rPr>
                <w:rFonts w:cstheme="minorHAnsi"/>
                <w:color w:val="000000"/>
                <w:sz w:val="20"/>
                <w:szCs w:val="20"/>
              </w:rPr>
            </w:pPr>
            <w:r w:rsidRPr="002B4065">
              <w:rPr>
                <w:rFonts w:cstheme="minorHAnsi"/>
                <w:color w:val="000000"/>
                <w:sz w:val="20"/>
                <w:szCs w:val="20"/>
              </w:rPr>
              <w:t>Land use</w:t>
            </w:r>
          </w:p>
        </w:tc>
        <w:tc>
          <w:tcPr>
            <w:tcW w:w="1246" w:type="dxa"/>
            <w:tcBorders>
              <w:top w:val="single" w:sz="4" w:space="0" w:color="auto"/>
              <w:left w:val="single" w:sz="4" w:space="0" w:color="auto"/>
              <w:bottom w:val="single" w:sz="4" w:space="0" w:color="auto"/>
              <w:right w:val="single" w:sz="4" w:space="0" w:color="auto"/>
            </w:tcBorders>
            <w:shd w:val="clear" w:color="auto" w:fill="auto"/>
            <w:vAlign w:val="center"/>
          </w:tcPr>
          <w:p w:rsidR="0088377E" w:rsidRPr="002B4065" w:rsidRDefault="0088377E" w:rsidP="0005094B">
            <w:pPr>
              <w:rPr>
                <w:rFonts w:cstheme="minorHAnsi"/>
                <w:color w:val="000000"/>
                <w:sz w:val="20"/>
                <w:szCs w:val="20"/>
              </w:rPr>
            </w:pPr>
            <w:r w:rsidRPr="002B4065">
              <w:rPr>
                <w:rFonts w:cstheme="minorHAnsi"/>
                <w:color w:val="000000"/>
                <w:sz w:val="20"/>
                <w:szCs w:val="20"/>
              </w:rPr>
              <w:t>Citizens' Jury</w:t>
            </w:r>
          </w:p>
        </w:tc>
        <w:tc>
          <w:tcPr>
            <w:tcW w:w="1933" w:type="dxa"/>
            <w:tcBorders>
              <w:top w:val="single" w:sz="4" w:space="0" w:color="auto"/>
              <w:left w:val="nil"/>
              <w:bottom w:val="single" w:sz="4" w:space="0" w:color="auto"/>
              <w:right w:val="single" w:sz="4" w:space="0" w:color="auto"/>
            </w:tcBorders>
            <w:shd w:val="clear" w:color="auto" w:fill="auto"/>
            <w:vAlign w:val="center"/>
          </w:tcPr>
          <w:p w:rsidR="0088377E" w:rsidRPr="002B4065" w:rsidRDefault="0088377E" w:rsidP="0005094B">
            <w:pPr>
              <w:rPr>
                <w:rFonts w:cstheme="minorHAnsi"/>
                <w:color w:val="000000"/>
                <w:sz w:val="20"/>
                <w:szCs w:val="20"/>
              </w:rPr>
            </w:pPr>
            <w:r w:rsidRPr="002B4065">
              <w:rPr>
                <w:rFonts w:cstheme="minorHAnsi"/>
                <w:color w:val="000000"/>
                <w:sz w:val="20"/>
                <w:szCs w:val="20"/>
              </w:rPr>
              <w:t>Flevoland</w:t>
            </w:r>
          </w:p>
        </w:tc>
        <w:tc>
          <w:tcPr>
            <w:tcW w:w="947" w:type="dxa"/>
            <w:tcBorders>
              <w:top w:val="single" w:sz="4" w:space="0" w:color="auto"/>
              <w:left w:val="nil"/>
              <w:bottom w:val="single" w:sz="4" w:space="0" w:color="auto"/>
              <w:right w:val="single" w:sz="4" w:space="0" w:color="auto"/>
            </w:tcBorders>
            <w:shd w:val="clear" w:color="auto" w:fill="auto"/>
            <w:vAlign w:val="center"/>
          </w:tcPr>
          <w:p w:rsidR="0088377E" w:rsidRPr="002B4065" w:rsidRDefault="0088377E" w:rsidP="0005094B">
            <w:pPr>
              <w:jc w:val="right"/>
              <w:rPr>
                <w:rFonts w:cstheme="minorHAnsi"/>
                <w:color w:val="000000"/>
                <w:sz w:val="20"/>
                <w:szCs w:val="20"/>
              </w:rPr>
            </w:pPr>
            <w:r w:rsidRPr="002B4065">
              <w:rPr>
                <w:rFonts w:cstheme="minorHAnsi"/>
                <w:color w:val="000000"/>
                <w:sz w:val="20"/>
                <w:szCs w:val="20"/>
              </w:rPr>
              <w:t>2007</w:t>
            </w:r>
          </w:p>
        </w:tc>
        <w:tc>
          <w:tcPr>
            <w:tcW w:w="953" w:type="dxa"/>
            <w:tcBorders>
              <w:top w:val="single" w:sz="4" w:space="0" w:color="auto"/>
              <w:left w:val="nil"/>
              <w:bottom w:val="single" w:sz="4" w:space="0" w:color="auto"/>
              <w:right w:val="single" w:sz="4" w:space="0" w:color="auto"/>
            </w:tcBorders>
            <w:shd w:val="clear" w:color="auto" w:fill="auto"/>
            <w:vAlign w:val="center"/>
          </w:tcPr>
          <w:p w:rsidR="0088377E" w:rsidRPr="002B4065" w:rsidRDefault="0088377E" w:rsidP="0005094B">
            <w:pPr>
              <w:rPr>
                <w:rFonts w:cstheme="minorHAnsi"/>
                <w:color w:val="000000"/>
                <w:sz w:val="20"/>
                <w:szCs w:val="20"/>
              </w:rPr>
            </w:pPr>
            <w:r w:rsidRPr="002B4065">
              <w:rPr>
                <w:rFonts w:cstheme="minorHAnsi"/>
                <w:color w:val="000000"/>
                <w:sz w:val="20"/>
                <w:szCs w:val="20"/>
              </w:rPr>
              <w:t>Don’t know</w:t>
            </w:r>
          </w:p>
        </w:tc>
        <w:tc>
          <w:tcPr>
            <w:tcW w:w="1397" w:type="dxa"/>
            <w:tcBorders>
              <w:top w:val="single" w:sz="4" w:space="0" w:color="auto"/>
              <w:left w:val="nil"/>
              <w:bottom w:val="single" w:sz="4" w:space="0" w:color="auto"/>
              <w:right w:val="single" w:sz="4" w:space="0" w:color="auto"/>
            </w:tcBorders>
            <w:shd w:val="clear" w:color="auto" w:fill="auto"/>
            <w:vAlign w:val="center"/>
          </w:tcPr>
          <w:p w:rsidR="0088377E" w:rsidRPr="002B4065" w:rsidRDefault="0088377E" w:rsidP="0005094B">
            <w:pPr>
              <w:rPr>
                <w:rFonts w:cstheme="minorHAnsi"/>
                <w:color w:val="000000"/>
                <w:sz w:val="20"/>
                <w:szCs w:val="20"/>
              </w:rPr>
            </w:pPr>
            <w:r w:rsidRPr="002B4065">
              <w:rPr>
                <w:rFonts w:cstheme="minorHAnsi"/>
                <w:color w:val="000000"/>
                <w:sz w:val="20"/>
                <w:szCs w:val="20"/>
              </w:rPr>
              <w:t>36-40</w:t>
            </w:r>
          </w:p>
        </w:tc>
        <w:tc>
          <w:tcPr>
            <w:tcW w:w="1599" w:type="dxa"/>
            <w:tcBorders>
              <w:top w:val="single" w:sz="4" w:space="0" w:color="auto"/>
              <w:left w:val="nil"/>
              <w:bottom w:val="single" w:sz="4" w:space="0" w:color="auto"/>
              <w:right w:val="single" w:sz="4" w:space="0" w:color="auto"/>
            </w:tcBorders>
            <w:shd w:val="clear" w:color="auto" w:fill="auto"/>
            <w:vAlign w:val="center"/>
          </w:tcPr>
          <w:p w:rsidR="0088377E" w:rsidRPr="002B4065" w:rsidRDefault="0088377E" w:rsidP="0005094B">
            <w:pPr>
              <w:rPr>
                <w:rFonts w:cstheme="minorHAnsi"/>
                <w:color w:val="000000"/>
                <w:sz w:val="20"/>
                <w:szCs w:val="20"/>
              </w:rPr>
            </w:pPr>
            <w:r w:rsidRPr="002B4065">
              <w:rPr>
                <w:rFonts w:cstheme="minorHAnsi"/>
                <w:color w:val="000000"/>
                <w:sz w:val="20"/>
                <w:szCs w:val="20"/>
              </w:rPr>
              <w:t>Other: mixture of self-selection, then sampling based on lack of specific interest in topic and motivations for participation</w:t>
            </w:r>
          </w:p>
        </w:tc>
      </w:tr>
    </w:tbl>
    <w:p w:rsidR="00237EB1" w:rsidRPr="00237EB1" w:rsidRDefault="00237EB1" w:rsidP="00237EB1">
      <w:pPr>
        <w:jc w:val="both"/>
        <w:rPr>
          <w:sz w:val="24"/>
          <w:szCs w:val="24"/>
        </w:rPr>
      </w:pPr>
    </w:p>
    <w:p w:rsidR="00A400D3" w:rsidRPr="00665371" w:rsidRDefault="00A400D3" w:rsidP="00A400D3">
      <w:pPr>
        <w:numPr>
          <w:ilvl w:val="0"/>
          <w:numId w:val="13"/>
        </w:numPr>
        <w:rPr>
          <w:b/>
          <w:i/>
          <w:color w:val="0B5484" w:themeColor="accent1" w:themeShade="80"/>
          <w:sz w:val="24"/>
          <w:szCs w:val="24"/>
        </w:rPr>
      </w:pPr>
      <w:r w:rsidRPr="00665371">
        <w:rPr>
          <w:b/>
          <w:i/>
          <w:color w:val="0B5484" w:themeColor="accent1" w:themeShade="80"/>
          <w:sz w:val="24"/>
          <w:szCs w:val="24"/>
        </w:rPr>
        <w:t xml:space="preserve">Are there any trends across the cases in each country that suggest the organisational features of the mini-public influence citizens’ engagement with evidence? </w:t>
      </w:r>
    </w:p>
    <w:p w:rsidR="00A400D3" w:rsidRPr="00A400D3" w:rsidRDefault="00C20525" w:rsidP="00A400D3">
      <w:pPr>
        <w:jc w:val="both"/>
        <w:rPr>
          <w:sz w:val="24"/>
          <w:szCs w:val="24"/>
        </w:rPr>
      </w:pPr>
      <w:r w:rsidRPr="007F729A">
        <w:rPr>
          <w:sz w:val="24"/>
          <w:szCs w:val="24"/>
        </w:rPr>
        <w:t>The Netherlands search showed no mini</w:t>
      </w:r>
      <w:r>
        <w:rPr>
          <w:sz w:val="24"/>
          <w:szCs w:val="24"/>
        </w:rPr>
        <w:t>-</w:t>
      </w:r>
      <w:r w:rsidRPr="007F729A">
        <w:rPr>
          <w:sz w:val="24"/>
          <w:szCs w:val="24"/>
        </w:rPr>
        <w:t xml:space="preserve">publics with a focus on social policy. </w:t>
      </w:r>
      <w:r w:rsidR="00665371">
        <w:rPr>
          <w:sz w:val="24"/>
          <w:szCs w:val="24"/>
        </w:rPr>
        <w:t xml:space="preserve">Looking across the </w:t>
      </w:r>
      <w:r>
        <w:rPr>
          <w:sz w:val="24"/>
          <w:szCs w:val="24"/>
        </w:rPr>
        <w:t xml:space="preserve">German </w:t>
      </w:r>
      <w:r w:rsidR="00665371">
        <w:rPr>
          <w:sz w:val="24"/>
          <w:szCs w:val="24"/>
        </w:rPr>
        <w:t>mini-</w:t>
      </w:r>
      <w:r w:rsidR="00A400D3" w:rsidRPr="00A400D3">
        <w:rPr>
          <w:sz w:val="24"/>
          <w:szCs w:val="24"/>
        </w:rPr>
        <w:t xml:space="preserve">publics, their duration is similar, where data exists. The Citizens’ Jury in Bayern lasted 3 days, the Consensus Conferences lasted for 2 days, but </w:t>
      </w:r>
      <w:r w:rsidR="00665371">
        <w:rPr>
          <w:sz w:val="24"/>
          <w:szCs w:val="24"/>
        </w:rPr>
        <w:t xml:space="preserve">the </w:t>
      </w:r>
      <w:r w:rsidR="00A400D3" w:rsidRPr="00A400D3">
        <w:rPr>
          <w:sz w:val="24"/>
          <w:szCs w:val="24"/>
        </w:rPr>
        <w:t>duration of the Citizen Assem</w:t>
      </w:r>
      <w:r w:rsidR="00665371">
        <w:rPr>
          <w:sz w:val="24"/>
          <w:szCs w:val="24"/>
        </w:rPr>
        <w:t>bly is not clear.  All the mini-</w:t>
      </w:r>
      <w:r w:rsidR="00A400D3" w:rsidRPr="00A400D3">
        <w:rPr>
          <w:sz w:val="24"/>
          <w:szCs w:val="24"/>
        </w:rPr>
        <w:t xml:space="preserve">publics presented evidence in similar ways, with participants introduced to the topic by expert presentations. These were followed by question and answer sessions, and small group discussions. The group discussions were </w:t>
      </w:r>
      <w:r w:rsidR="00665371">
        <w:rPr>
          <w:sz w:val="24"/>
          <w:szCs w:val="24"/>
        </w:rPr>
        <w:t>usually</w:t>
      </w:r>
      <w:r w:rsidR="00A400D3" w:rsidRPr="00A400D3">
        <w:rPr>
          <w:sz w:val="24"/>
          <w:szCs w:val="24"/>
        </w:rPr>
        <w:t xml:space="preserve"> facilitated. </w:t>
      </w:r>
    </w:p>
    <w:p w:rsidR="00A400D3" w:rsidRPr="00A400D3" w:rsidRDefault="00A400D3" w:rsidP="00A400D3">
      <w:pPr>
        <w:jc w:val="both"/>
        <w:rPr>
          <w:sz w:val="24"/>
          <w:szCs w:val="24"/>
        </w:rPr>
      </w:pPr>
      <w:r w:rsidRPr="00A400D3">
        <w:rPr>
          <w:sz w:val="24"/>
          <w:szCs w:val="24"/>
        </w:rPr>
        <w:lastRenderedPageBreak/>
        <w:t xml:space="preserve">From the sample, there are two case studies, which have been researched in enough depth to identify the influence of evidence on citizens. Firstly, the medical Citizens’ Jury in Bayern </w:t>
      </w:r>
      <w:r w:rsidR="00C20525">
        <w:rPr>
          <w:sz w:val="24"/>
          <w:szCs w:val="24"/>
        </w:rPr>
        <w:t xml:space="preserve">(case no. 30) </w:t>
      </w:r>
      <w:r w:rsidRPr="00A400D3">
        <w:rPr>
          <w:sz w:val="24"/>
          <w:szCs w:val="24"/>
        </w:rPr>
        <w:t xml:space="preserve">focussed </w:t>
      </w:r>
      <w:r w:rsidR="00665371">
        <w:rPr>
          <w:sz w:val="24"/>
          <w:szCs w:val="24"/>
        </w:rPr>
        <w:t>heavily on ‘empowering’</w:t>
      </w:r>
      <w:r w:rsidRPr="00A400D3">
        <w:rPr>
          <w:sz w:val="24"/>
          <w:szCs w:val="24"/>
        </w:rPr>
        <w:t xml:space="preserve"> participants in the topic (European Commission 2014). The organisers ad</w:t>
      </w:r>
      <w:r w:rsidR="00665371">
        <w:rPr>
          <w:sz w:val="24"/>
          <w:szCs w:val="24"/>
        </w:rPr>
        <w:t>opted four approaches to help</w:t>
      </w:r>
      <w:r w:rsidRPr="00A400D3">
        <w:rPr>
          <w:sz w:val="24"/>
          <w:szCs w:val="24"/>
        </w:rPr>
        <w:t xml:space="preserve"> foster this empowerment. The first was to ensure that a balanced view was presented in the witness presentations. The project organisers selected the experts to present, and the panellists then selected additio</w:t>
      </w:r>
      <w:r w:rsidR="00665371">
        <w:rPr>
          <w:sz w:val="24"/>
          <w:szCs w:val="24"/>
        </w:rPr>
        <w:t>nal outside experts to provide ‘testimony’</w:t>
      </w:r>
      <w:r w:rsidRPr="00A400D3">
        <w:rPr>
          <w:sz w:val="24"/>
          <w:szCs w:val="24"/>
        </w:rPr>
        <w:t>, to help assure participants that they were hearing all sides of the argument. The second approach they used was to ensure the participant discussions were effectively facilitated. To do this, independent facilitators were used to aid the deliberation. The third approach was deployed on the second day, and this was to enable the participants to select the experts from the presenters they had heard from on days 1 and 2 to present at the second weekend. The fourth tactic was to</w:t>
      </w:r>
      <w:r w:rsidR="00665371">
        <w:rPr>
          <w:sz w:val="24"/>
          <w:szCs w:val="24"/>
        </w:rPr>
        <w:t xml:space="preserve"> enable participants to become ‘ambassadors.’</w:t>
      </w:r>
      <w:r w:rsidRPr="00A400D3">
        <w:rPr>
          <w:sz w:val="24"/>
          <w:szCs w:val="24"/>
        </w:rPr>
        <w:t xml:space="preserve"> The</w:t>
      </w:r>
      <w:r w:rsidR="00665371">
        <w:rPr>
          <w:sz w:val="24"/>
          <w:szCs w:val="24"/>
        </w:rPr>
        <w:t>se</w:t>
      </w:r>
      <w:r w:rsidRPr="00A400D3">
        <w:rPr>
          <w:sz w:val="24"/>
          <w:szCs w:val="24"/>
        </w:rPr>
        <w:t xml:space="preserve"> ambassadors were individual participants who adopted an issue on behalf of the panel, and presented their res</w:t>
      </w:r>
      <w:r w:rsidR="00DE35AF">
        <w:rPr>
          <w:sz w:val="24"/>
          <w:szCs w:val="24"/>
        </w:rPr>
        <w:t>ults on the third day</w:t>
      </w:r>
      <w:r w:rsidRPr="00A400D3">
        <w:rPr>
          <w:sz w:val="24"/>
          <w:szCs w:val="24"/>
        </w:rPr>
        <w:t>. These presentations were heard alongside the presentations from the experts the participants had selected. Because of these four tactics, the evidence had an impact on the participants</w:t>
      </w:r>
      <w:r w:rsidR="00DE35AF">
        <w:rPr>
          <w:sz w:val="24"/>
          <w:szCs w:val="24"/>
        </w:rPr>
        <w:t>.</w:t>
      </w:r>
      <w:r w:rsidRPr="00A400D3">
        <w:rPr>
          <w:sz w:val="24"/>
          <w:szCs w:val="24"/>
        </w:rPr>
        <w:t xml:space="preserve"> The European Commission (2014</w:t>
      </w:r>
      <w:r w:rsidR="00DE35AF">
        <w:rPr>
          <w:sz w:val="24"/>
          <w:szCs w:val="24"/>
        </w:rPr>
        <w:t>:</w:t>
      </w:r>
      <w:r w:rsidRPr="00A400D3">
        <w:rPr>
          <w:sz w:val="24"/>
          <w:szCs w:val="24"/>
        </w:rPr>
        <w:t xml:space="preserve"> 11) resea</w:t>
      </w:r>
      <w:r w:rsidR="00665371">
        <w:rPr>
          <w:sz w:val="24"/>
          <w:szCs w:val="24"/>
        </w:rPr>
        <w:t>rch concluded that this led to ‘</w:t>
      </w:r>
      <w:r w:rsidRPr="00A400D3">
        <w:rPr>
          <w:sz w:val="24"/>
          <w:szCs w:val="24"/>
        </w:rPr>
        <w:t>medical empow</w:t>
      </w:r>
      <w:r w:rsidR="00665371">
        <w:rPr>
          <w:sz w:val="24"/>
          <w:szCs w:val="24"/>
        </w:rPr>
        <w:t>erment of participants’</w:t>
      </w:r>
      <w:r w:rsidRPr="00A400D3">
        <w:rPr>
          <w:sz w:val="24"/>
          <w:szCs w:val="24"/>
        </w:rPr>
        <w:t>, and cited the facilitators as particular</w:t>
      </w:r>
      <w:r w:rsidR="00DE35AF">
        <w:rPr>
          <w:sz w:val="24"/>
          <w:szCs w:val="24"/>
        </w:rPr>
        <w:t>ly important, helping ‘</w:t>
      </w:r>
      <w:r w:rsidRPr="00A400D3">
        <w:rPr>
          <w:sz w:val="24"/>
          <w:szCs w:val="24"/>
        </w:rPr>
        <w:t>empower the self-confidence and the assessment skills of the participants, allowing a discussion</w:t>
      </w:r>
      <w:r w:rsidR="00DE35AF">
        <w:rPr>
          <w:sz w:val="24"/>
          <w:szCs w:val="24"/>
        </w:rPr>
        <w:t xml:space="preserve"> between laypersons and experts</w:t>
      </w:r>
      <w:r w:rsidRPr="00A400D3">
        <w:rPr>
          <w:sz w:val="24"/>
          <w:szCs w:val="24"/>
        </w:rPr>
        <w:t>.</w:t>
      </w:r>
      <w:r w:rsidR="00DE35AF">
        <w:rPr>
          <w:sz w:val="24"/>
          <w:szCs w:val="24"/>
        </w:rPr>
        <w:t>’</w:t>
      </w:r>
      <w:r w:rsidRPr="00A400D3">
        <w:rPr>
          <w:sz w:val="24"/>
          <w:szCs w:val="24"/>
        </w:rPr>
        <w:t xml:space="preserve"> </w:t>
      </w:r>
    </w:p>
    <w:p w:rsidR="00A400D3" w:rsidRPr="00A400D3" w:rsidRDefault="00A400D3" w:rsidP="00A400D3">
      <w:pPr>
        <w:jc w:val="both"/>
        <w:rPr>
          <w:sz w:val="24"/>
          <w:szCs w:val="24"/>
        </w:rPr>
      </w:pPr>
      <w:r w:rsidRPr="00A400D3">
        <w:rPr>
          <w:sz w:val="24"/>
          <w:szCs w:val="24"/>
        </w:rPr>
        <w:t>The second case study</w:t>
      </w:r>
      <w:r w:rsidR="00DE35AF">
        <w:rPr>
          <w:sz w:val="24"/>
          <w:szCs w:val="24"/>
        </w:rPr>
        <w:t>,</w:t>
      </w:r>
      <w:r w:rsidRPr="00A400D3">
        <w:rPr>
          <w:sz w:val="24"/>
          <w:szCs w:val="24"/>
        </w:rPr>
        <w:t xml:space="preserve"> which has been studied in enough depth to identify the influence on citizens</w:t>
      </w:r>
      <w:r w:rsidR="00DE35AF">
        <w:rPr>
          <w:sz w:val="24"/>
          <w:szCs w:val="24"/>
        </w:rPr>
        <w:t>,</w:t>
      </w:r>
      <w:r w:rsidRPr="00A400D3">
        <w:rPr>
          <w:sz w:val="24"/>
          <w:szCs w:val="24"/>
        </w:rPr>
        <w:t xml:space="preserve"> is the Citizen Assembly in Berlin</w:t>
      </w:r>
      <w:r w:rsidR="00C20525">
        <w:rPr>
          <w:sz w:val="24"/>
          <w:szCs w:val="24"/>
        </w:rPr>
        <w:t xml:space="preserve"> (case no.31)</w:t>
      </w:r>
      <w:r w:rsidRPr="00A400D3">
        <w:rPr>
          <w:sz w:val="24"/>
          <w:szCs w:val="24"/>
        </w:rPr>
        <w:t xml:space="preserve">. It is not clear how many Assemblies were held, but within these, participants heard about the budget and the implications of different budgeting decisions and were then able to cast votes on budget suggestions. A review of this process, undertaken by </w:t>
      </w:r>
      <w:proofErr w:type="spellStart"/>
      <w:r w:rsidRPr="00A400D3">
        <w:rPr>
          <w:sz w:val="24"/>
          <w:szCs w:val="24"/>
        </w:rPr>
        <w:t>Shkabatur</w:t>
      </w:r>
      <w:proofErr w:type="spellEnd"/>
      <w:r w:rsidRPr="00A400D3">
        <w:rPr>
          <w:sz w:val="24"/>
          <w:szCs w:val="24"/>
        </w:rPr>
        <w:t xml:space="preserve"> (2010) ident</w:t>
      </w:r>
      <w:r w:rsidR="00DE35AF">
        <w:rPr>
          <w:sz w:val="24"/>
          <w:szCs w:val="24"/>
        </w:rPr>
        <w:t>ified that citizens were often ‘left in the dark</w:t>
      </w:r>
      <w:r w:rsidRPr="00A400D3">
        <w:rPr>
          <w:sz w:val="24"/>
          <w:szCs w:val="24"/>
        </w:rPr>
        <w:t>.</w:t>
      </w:r>
      <w:r w:rsidR="00DE35AF">
        <w:rPr>
          <w:sz w:val="24"/>
          <w:szCs w:val="24"/>
        </w:rPr>
        <w:t>’</w:t>
      </w:r>
      <w:r w:rsidRPr="00A400D3">
        <w:rPr>
          <w:sz w:val="24"/>
          <w:szCs w:val="24"/>
        </w:rPr>
        <w:t xml:space="preserve"> This is because the project structure meant that it took a long time - up to two years – before citizens felt the benefits of the process. In addition, many of the citizens’ suggestions were rejected as they were deemed unviable, however, this was not communicated to the citizens. As the project progressed, the organisers tried to rectify the breakdown in communication by putting all suggestions online so that citizens could track the progress, and to discuss these via networking sites, such as Twitter and Facebook (</w:t>
      </w:r>
      <w:proofErr w:type="spellStart"/>
      <w:r w:rsidRPr="00A400D3">
        <w:rPr>
          <w:sz w:val="24"/>
          <w:szCs w:val="24"/>
        </w:rPr>
        <w:t>Shkabatur</w:t>
      </w:r>
      <w:proofErr w:type="spellEnd"/>
      <w:r w:rsidRPr="00A400D3">
        <w:rPr>
          <w:sz w:val="24"/>
          <w:szCs w:val="24"/>
        </w:rPr>
        <w:t xml:space="preserve"> 2010). </w:t>
      </w:r>
    </w:p>
    <w:p w:rsidR="00A400D3" w:rsidRPr="00A400D3" w:rsidRDefault="00A400D3" w:rsidP="00A400D3">
      <w:pPr>
        <w:jc w:val="both"/>
        <w:rPr>
          <w:sz w:val="24"/>
          <w:szCs w:val="24"/>
        </w:rPr>
      </w:pPr>
      <w:bookmarkStart w:id="3" w:name="_Hlk517856070"/>
      <w:r w:rsidRPr="00A400D3">
        <w:rPr>
          <w:sz w:val="24"/>
          <w:szCs w:val="24"/>
        </w:rPr>
        <w:t>The original question for this section focusses on the influence that t</w:t>
      </w:r>
      <w:r w:rsidR="00DE35AF">
        <w:rPr>
          <w:sz w:val="24"/>
          <w:szCs w:val="24"/>
        </w:rPr>
        <w:t>he evidence has on citizens. It i</w:t>
      </w:r>
      <w:r w:rsidRPr="00A400D3">
        <w:rPr>
          <w:sz w:val="24"/>
          <w:szCs w:val="24"/>
        </w:rPr>
        <w:t xml:space="preserve">s worth noting that </w:t>
      </w:r>
      <w:r w:rsidR="00DE35AF">
        <w:rPr>
          <w:sz w:val="24"/>
          <w:szCs w:val="24"/>
        </w:rPr>
        <w:t>not all the mini-</w:t>
      </w:r>
      <w:r w:rsidR="00665371">
        <w:rPr>
          <w:sz w:val="24"/>
          <w:szCs w:val="24"/>
        </w:rPr>
        <w:t>publics aimed to engage ‘citizens’</w:t>
      </w:r>
      <w:r w:rsidRPr="00A400D3">
        <w:rPr>
          <w:sz w:val="24"/>
          <w:szCs w:val="24"/>
        </w:rPr>
        <w:t xml:space="preserve"> per se. Instead the mini</w:t>
      </w:r>
      <w:r w:rsidR="00DE35AF">
        <w:rPr>
          <w:sz w:val="24"/>
          <w:szCs w:val="24"/>
        </w:rPr>
        <w:t>-</w:t>
      </w:r>
      <w:r w:rsidRPr="00A400D3">
        <w:rPr>
          <w:sz w:val="24"/>
          <w:szCs w:val="24"/>
        </w:rPr>
        <w:t xml:space="preserve">publics were often used to engage with practitioners and professionals. For example, there was a Citizens’ Jury on arthritis which involved osteoarthritis professionals from academia and the healthcare sector. </w:t>
      </w:r>
      <w:bookmarkEnd w:id="3"/>
      <w:r w:rsidRPr="00A400D3">
        <w:rPr>
          <w:sz w:val="24"/>
          <w:szCs w:val="24"/>
        </w:rPr>
        <w:t xml:space="preserve">Another example was a Consensus Conference on chronic disease which was attended by medical professionals and academics.  Rather than citizens, or the ‘lay’ public, attending these mini-publics, they were instead attended by paid professionals, drawn largely from medical and academic fields, which makes their recruitment more closed and selective, and not representative of the wider population, as many mini-publics aspire.  </w:t>
      </w:r>
    </w:p>
    <w:p w:rsidR="00A400D3" w:rsidRPr="00A400D3" w:rsidRDefault="00A400D3" w:rsidP="00A400D3">
      <w:pPr>
        <w:rPr>
          <w:i/>
          <w:sz w:val="24"/>
          <w:szCs w:val="24"/>
        </w:rPr>
      </w:pPr>
    </w:p>
    <w:p w:rsidR="00A400D3" w:rsidRPr="00665371" w:rsidRDefault="00A400D3" w:rsidP="00A400D3">
      <w:pPr>
        <w:numPr>
          <w:ilvl w:val="0"/>
          <w:numId w:val="13"/>
        </w:numPr>
        <w:rPr>
          <w:b/>
          <w:i/>
          <w:color w:val="0B5484" w:themeColor="accent1" w:themeShade="80"/>
          <w:sz w:val="24"/>
          <w:szCs w:val="24"/>
        </w:rPr>
      </w:pPr>
      <w:r w:rsidRPr="00665371">
        <w:rPr>
          <w:b/>
          <w:i/>
          <w:color w:val="0B5484" w:themeColor="accent1" w:themeShade="80"/>
          <w:sz w:val="24"/>
          <w:szCs w:val="24"/>
        </w:rPr>
        <w:t>Are there any trends across the cases in each country that suggest some types of mini-public have had more frequent and extensive impact on social policy and practice than others?</w:t>
      </w:r>
    </w:p>
    <w:p w:rsidR="00C20525" w:rsidRPr="00C20525" w:rsidRDefault="00C20525" w:rsidP="00C20525">
      <w:pPr>
        <w:jc w:val="both"/>
        <w:rPr>
          <w:sz w:val="24"/>
          <w:szCs w:val="24"/>
          <w:lang w:val="it-IT"/>
        </w:rPr>
      </w:pPr>
      <w:bookmarkStart w:id="4" w:name="_Hlk517856110"/>
      <w:r w:rsidRPr="00C20525">
        <w:rPr>
          <w:sz w:val="24"/>
          <w:szCs w:val="24"/>
          <w:lang w:val="it-IT"/>
        </w:rPr>
        <w:t>Based on the limited amount of cases in this review, the citizens’ jury is the most popular form of mini-public in the Netherlands but the impact on policy could not accurately be described as frequent or extensive.</w:t>
      </w:r>
    </w:p>
    <w:p w:rsidR="00A400D3" w:rsidRPr="00A400D3" w:rsidRDefault="00DE35AF" w:rsidP="00DE35AF">
      <w:pPr>
        <w:jc w:val="both"/>
        <w:rPr>
          <w:sz w:val="24"/>
          <w:szCs w:val="24"/>
        </w:rPr>
      </w:pPr>
      <w:r>
        <w:rPr>
          <w:sz w:val="24"/>
          <w:szCs w:val="24"/>
        </w:rPr>
        <w:lastRenderedPageBreak/>
        <w:t>Out of the seven mini-</w:t>
      </w:r>
      <w:r w:rsidR="00A400D3" w:rsidRPr="00A400D3">
        <w:rPr>
          <w:sz w:val="24"/>
          <w:szCs w:val="24"/>
        </w:rPr>
        <w:t>publics identified in Germany, only two have details on how they influenced policy and practice. The first is the Citizens’ Jury on arthritis</w:t>
      </w:r>
      <w:r w:rsidR="00C20525">
        <w:rPr>
          <w:sz w:val="24"/>
          <w:szCs w:val="24"/>
        </w:rPr>
        <w:t xml:space="preserve"> (case no.30)</w:t>
      </w:r>
      <w:r w:rsidR="00A400D3" w:rsidRPr="00A400D3">
        <w:rPr>
          <w:sz w:val="24"/>
          <w:szCs w:val="24"/>
        </w:rPr>
        <w:t xml:space="preserve">, where, because of the Citizens’ Jury, 20 papers were published in scientific journals, nine masters and PhD theses were completed by students working on the project, partners attended international meetings, and education material was prepared (Fletcher 2017). However, this activity is comprised of outputs, and do not necessarily indicate impact on social policy and practice. </w:t>
      </w:r>
    </w:p>
    <w:bookmarkEnd w:id="4"/>
    <w:p w:rsidR="00A400D3" w:rsidRPr="00A400D3" w:rsidRDefault="00DE35AF" w:rsidP="00DE35AF">
      <w:pPr>
        <w:jc w:val="both"/>
        <w:rPr>
          <w:sz w:val="24"/>
          <w:szCs w:val="24"/>
        </w:rPr>
      </w:pPr>
      <w:r>
        <w:rPr>
          <w:sz w:val="24"/>
          <w:szCs w:val="24"/>
        </w:rPr>
        <w:t>The second mini-</w:t>
      </w:r>
      <w:r w:rsidR="00A400D3" w:rsidRPr="00A400D3">
        <w:rPr>
          <w:sz w:val="24"/>
          <w:szCs w:val="24"/>
        </w:rPr>
        <w:t>public which has been reviewed to show the influence on social policy and practice is the Citizen Assembly in Berlin</w:t>
      </w:r>
      <w:r w:rsidR="00F66DB0">
        <w:rPr>
          <w:sz w:val="24"/>
          <w:szCs w:val="24"/>
        </w:rPr>
        <w:t xml:space="preserve"> (case no.31)</w:t>
      </w:r>
      <w:r w:rsidR="00A400D3" w:rsidRPr="00A400D3">
        <w:rPr>
          <w:sz w:val="24"/>
          <w:szCs w:val="24"/>
        </w:rPr>
        <w:t>. The Mayor declared that over 90% of citizens’ suggestions had been implemented, and that the most common reason suggestions were rejected, was because they had been tried previously and had not been successful (</w:t>
      </w:r>
      <w:proofErr w:type="spellStart"/>
      <w:r w:rsidR="00A400D3" w:rsidRPr="00A400D3">
        <w:rPr>
          <w:sz w:val="24"/>
          <w:szCs w:val="24"/>
        </w:rPr>
        <w:t>Shkabatur</w:t>
      </w:r>
      <w:proofErr w:type="spellEnd"/>
      <w:r w:rsidR="00A400D3" w:rsidRPr="00A400D3">
        <w:rPr>
          <w:sz w:val="24"/>
          <w:szCs w:val="24"/>
        </w:rPr>
        <w:t xml:space="preserve"> 2010). One suggestion that was implemented was a project offering native language literature in Russian and Vietnamese in the district's libraries. This proposal received the most votes in the year, and was supported by the Russian and Vietnamese population, but also by German participants (</w:t>
      </w:r>
      <w:proofErr w:type="spellStart"/>
      <w:r w:rsidR="00A400D3" w:rsidRPr="00A400D3">
        <w:rPr>
          <w:sz w:val="24"/>
          <w:szCs w:val="24"/>
        </w:rPr>
        <w:t>Sozialistische</w:t>
      </w:r>
      <w:proofErr w:type="spellEnd"/>
      <w:r w:rsidR="00A400D3" w:rsidRPr="00A400D3">
        <w:rPr>
          <w:sz w:val="24"/>
          <w:szCs w:val="24"/>
        </w:rPr>
        <w:t xml:space="preserve"> Tageszeitung 2009). However, it is not clear if these impacts were the results of the Citizen Assembl</w:t>
      </w:r>
      <w:r w:rsidR="00975E66">
        <w:rPr>
          <w:sz w:val="24"/>
          <w:szCs w:val="24"/>
        </w:rPr>
        <w:t>y</w:t>
      </w:r>
      <w:r w:rsidR="00A400D3" w:rsidRPr="00A400D3">
        <w:rPr>
          <w:sz w:val="24"/>
          <w:szCs w:val="24"/>
        </w:rPr>
        <w:t xml:space="preserve"> or are the result of the wider participatory bu</w:t>
      </w:r>
      <w:r w:rsidR="00975E66">
        <w:rPr>
          <w:sz w:val="24"/>
          <w:szCs w:val="24"/>
        </w:rPr>
        <w:t>dgeting programme of which the Citizen Assembly</w:t>
      </w:r>
      <w:r w:rsidR="00A400D3" w:rsidRPr="00A400D3">
        <w:rPr>
          <w:sz w:val="24"/>
          <w:szCs w:val="24"/>
        </w:rPr>
        <w:t xml:space="preserve"> formed part. </w:t>
      </w:r>
    </w:p>
    <w:p w:rsidR="00C20525" w:rsidRDefault="00C20525" w:rsidP="00C20525">
      <w:pPr>
        <w:jc w:val="both"/>
        <w:rPr>
          <w:sz w:val="24"/>
          <w:szCs w:val="24"/>
        </w:rPr>
      </w:pPr>
      <w:r w:rsidRPr="007F729A">
        <w:rPr>
          <w:sz w:val="24"/>
          <w:szCs w:val="24"/>
        </w:rPr>
        <w:t>What seems mo</w:t>
      </w:r>
      <w:r w:rsidR="00F66DB0">
        <w:rPr>
          <w:sz w:val="24"/>
          <w:szCs w:val="24"/>
        </w:rPr>
        <w:t>st</w:t>
      </w:r>
      <w:r w:rsidRPr="007F729A">
        <w:rPr>
          <w:sz w:val="24"/>
          <w:szCs w:val="24"/>
        </w:rPr>
        <w:t xml:space="preserve"> important to policy impact on the cases identified, is elements of institutional design by which the mini</w:t>
      </w:r>
      <w:r>
        <w:rPr>
          <w:sz w:val="24"/>
          <w:szCs w:val="24"/>
        </w:rPr>
        <w:t>-</w:t>
      </w:r>
      <w:r w:rsidRPr="007F729A">
        <w:rPr>
          <w:sz w:val="24"/>
          <w:szCs w:val="24"/>
        </w:rPr>
        <w:t>public is directly associated with a policy-making process. In other words, those mini</w:t>
      </w:r>
      <w:r>
        <w:rPr>
          <w:sz w:val="24"/>
          <w:szCs w:val="24"/>
        </w:rPr>
        <w:t>-</w:t>
      </w:r>
      <w:r w:rsidRPr="007F729A">
        <w:rPr>
          <w:sz w:val="24"/>
          <w:szCs w:val="24"/>
        </w:rPr>
        <w:t>publics that were organised by a public authority, or as part of a policy-making process led by a public authority on a specific policy. This form of mini</w:t>
      </w:r>
      <w:r>
        <w:rPr>
          <w:sz w:val="24"/>
          <w:szCs w:val="24"/>
        </w:rPr>
        <w:t>-</w:t>
      </w:r>
      <w:r w:rsidRPr="007F729A">
        <w:rPr>
          <w:sz w:val="24"/>
          <w:szCs w:val="24"/>
        </w:rPr>
        <w:t>public, operating as a policy device, differs from many others that seem experimental, and organised and led by civil society organisations, or research teams. Of those identified citizens’ juries seem more likely to be configured in a way that they are part of an existing policy</w:t>
      </w:r>
      <w:r>
        <w:rPr>
          <w:sz w:val="24"/>
          <w:szCs w:val="24"/>
        </w:rPr>
        <w:t>-</w:t>
      </w:r>
      <w:r w:rsidRPr="007F729A">
        <w:rPr>
          <w:sz w:val="24"/>
          <w:szCs w:val="24"/>
        </w:rPr>
        <w:t>making process.</w:t>
      </w:r>
      <w:r w:rsidRPr="00C20525">
        <w:rPr>
          <w:sz w:val="24"/>
          <w:szCs w:val="24"/>
        </w:rPr>
        <w:t xml:space="preserve"> </w:t>
      </w:r>
      <w:r w:rsidRPr="00A400D3">
        <w:rPr>
          <w:sz w:val="24"/>
          <w:szCs w:val="24"/>
        </w:rPr>
        <w:t>The fact that the examples cited here are Citizens’ Jurys and Citizen Assemblies does not necessaril</w:t>
      </w:r>
      <w:r>
        <w:rPr>
          <w:sz w:val="24"/>
          <w:szCs w:val="24"/>
        </w:rPr>
        <w:t>y mean that these types of mini-</w:t>
      </w:r>
      <w:r w:rsidRPr="00A400D3">
        <w:rPr>
          <w:sz w:val="24"/>
          <w:szCs w:val="24"/>
        </w:rPr>
        <w:t xml:space="preserve">public have a more frequent and extensive impact on social </w:t>
      </w:r>
      <w:r>
        <w:rPr>
          <w:sz w:val="24"/>
          <w:szCs w:val="24"/>
        </w:rPr>
        <w:t>policy and practice than others. Rather,</w:t>
      </w:r>
      <w:r w:rsidRPr="00A400D3">
        <w:rPr>
          <w:sz w:val="24"/>
          <w:szCs w:val="24"/>
        </w:rPr>
        <w:t xml:space="preserve"> it might just be reflective of where evidence</w:t>
      </w:r>
      <w:r w:rsidR="00F66DB0">
        <w:rPr>
          <w:sz w:val="24"/>
          <w:szCs w:val="24"/>
        </w:rPr>
        <w:t xml:space="preserve"> or institutional connections</w:t>
      </w:r>
      <w:r w:rsidRPr="00A400D3">
        <w:rPr>
          <w:sz w:val="24"/>
          <w:szCs w:val="24"/>
        </w:rPr>
        <w:t xml:space="preserve"> exists. </w:t>
      </w:r>
    </w:p>
    <w:p w:rsidR="00A400D3" w:rsidRPr="00A400D3" w:rsidRDefault="00A400D3" w:rsidP="00A400D3">
      <w:pPr>
        <w:rPr>
          <w:i/>
          <w:sz w:val="24"/>
          <w:szCs w:val="24"/>
        </w:rPr>
      </w:pPr>
    </w:p>
    <w:p w:rsidR="00A400D3" w:rsidRDefault="00A400D3" w:rsidP="00A400D3">
      <w:pPr>
        <w:numPr>
          <w:ilvl w:val="0"/>
          <w:numId w:val="13"/>
        </w:numPr>
        <w:rPr>
          <w:b/>
          <w:i/>
          <w:color w:val="0B5484" w:themeColor="accent1" w:themeShade="80"/>
          <w:sz w:val="24"/>
          <w:szCs w:val="24"/>
          <w:lang w:val="it-IT"/>
        </w:rPr>
      </w:pPr>
      <w:r w:rsidRPr="00975E66">
        <w:rPr>
          <w:b/>
          <w:i/>
          <w:color w:val="0B5484" w:themeColor="accent1" w:themeShade="80"/>
          <w:sz w:val="24"/>
          <w:szCs w:val="24"/>
        </w:rPr>
        <w:t xml:space="preserve">Are there any trends across the cases in each country that suggest some </w:t>
      </w:r>
      <w:r w:rsidRPr="00975E66">
        <w:rPr>
          <w:b/>
          <w:i/>
          <w:color w:val="0B5484" w:themeColor="accent1" w:themeShade="80"/>
          <w:sz w:val="24"/>
          <w:szCs w:val="24"/>
          <w:lang w:val="it-IT"/>
        </w:rPr>
        <w:t>types of expert, methods of expert recruitment, and the methods of presentation of evidence influences citizens’ engagement with evidence in mini-publics?</w:t>
      </w:r>
    </w:p>
    <w:p w:rsidR="00F66DB0" w:rsidRPr="00F66DB0" w:rsidRDefault="00F66DB0" w:rsidP="00F66DB0">
      <w:pPr>
        <w:jc w:val="both"/>
        <w:rPr>
          <w:sz w:val="24"/>
          <w:szCs w:val="24"/>
          <w:lang w:val="it-IT"/>
        </w:rPr>
      </w:pPr>
      <w:r w:rsidRPr="00F66DB0">
        <w:rPr>
          <w:sz w:val="24"/>
          <w:szCs w:val="24"/>
          <w:lang w:val="it-IT"/>
        </w:rPr>
        <w:t xml:space="preserve">The reports in the literature review indicate that the organisers of the mini-public recruited expert witnesses in the majority of cases. The selection process is often justified as the expert witnesses hold expert knowledge and diverse expertise, interests, and viewpoints with regard to the issue under consideration </w:t>
      </w:r>
      <w:r w:rsidRPr="00F66DB0">
        <w:rPr>
          <w:sz w:val="24"/>
          <w:szCs w:val="24"/>
          <w:lang w:val="it-IT"/>
        </w:rPr>
        <w:fldChar w:fldCharType="begin" w:fldLock="1"/>
      </w:r>
      <w:r w:rsidRPr="00F66DB0">
        <w:rPr>
          <w:sz w:val="24"/>
          <w:szCs w:val="24"/>
          <w:lang w:val="it-IT"/>
        </w:rPr>
        <w:instrText>ADDIN CSL_CITATION { "citationItems" : [ { "id" : "ITEM-1", "itemData" : { "DOI" : "10.1007/s11077-007-9046-7", "ISBN" : "00322687", "ISSN" : "00322687", "PMID" : "12658535", "abstract" : "Citizens' juries are a form of \"minipublics,\" small-scale experiments with citizen participation in public decision-making. The article presents a theoretical argument that improves understanding relating to the design of the citizens' jury. We develop the claim that two discourses on democracy can be discerned: the deliberative and the pluralist. By looking at the design features of citizens' juries we conclude that they are based on pluralist reasoning to a far greater extent than most authors seem to realize, and that the association with deliberative democracy is therefore one-sided. Based on empirical findings, we attempt to shed further light on the actual operation of citizens' juries. Observations of two recent Dutch juries suggest on the one hand that a learning process and a positive effect on the sense of political involvement occurred. On the other hand, we saw a certain level of groupthink in one of the citizens' juries, and found that the juries are not greatly representative in terms of political preferences. Our findings point firstly to a need for greater awareness among the organizers of juries of the two democratic discourses. This would lead to more consistent jury design. Secondly, our research emphasizes the need for more hands-on critical research of minipublics", "author" : [ { "dropping-particle" : "", "family" : "Huitema", "given" : "Dave", "non-dropping-particle" : "", "parse-names" : false, "suffix" : "" }, { "dropping-particle" : "", "family" : "Kerkhof", "given" : "Marleen", "non-dropping-particle" : "van de", "parse-names" : false, "suffix" : "" }, { "dropping-particle" : "", "family" : "Pesch", "given" : "Udo", "non-dropping-particle" : "", "parse-names" : false, "suffix" : "" } ], "container-title" : "Policy Sciences", "id" : "ITEM-1", "issue" : "4", "issued" : { "date-parts" : [ [ "2007", "12", "15" ] ] }, "page" : "287-311", "title" : "The nature of the beast: Are citizens' juries deliberative or pluralist?", "type" : "article-journal", "volume" : "40" }, "locator" : "302", "uris" : [ "http://www.mendeley.com/documents/?uuid=5689aa05-8c78-4abb-8774-2316050f589c" ] } ], "mendeley" : { "formattedCitation" : "(Huitema et al. 2007, p.302)", "plainTextFormattedCitation" : "(Huitema et al. 2007, p.302)", "previouslyFormattedCitation" : "(Huitema et al. 2007, p.302)" }, "properties" : {  }, "schema" : "https://github.com/citation-style-language/schema/raw/master/csl-citation.json" }</w:instrText>
      </w:r>
      <w:r w:rsidRPr="00F66DB0">
        <w:rPr>
          <w:sz w:val="24"/>
          <w:szCs w:val="24"/>
          <w:lang w:val="it-IT"/>
        </w:rPr>
        <w:fldChar w:fldCharType="separate"/>
      </w:r>
      <w:r w:rsidRPr="00F66DB0">
        <w:rPr>
          <w:sz w:val="24"/>
          <w:szCs w:val="24"/>
          <w:lang w:val="it-IT"/>
        </w:rPr>
        <w:t>(Huitema et al. 2007: 302)</w:t>
      </w:r>
      <w:r w:rsidRPr="00F66DB0">
        <w:rPr>
          <w:sz w:val="24"/>
          <w:szCs w:val="24"/>
        </w:rPr>
        <w:fldChar w:fldCharType="end"/>
      </w:r>
      <w:r w:rsidRPr="00F66DB0">
        <w:rPr>
          <w:sz w:val="24"/>
          <w:szCs w:val="24"/>
          <w:lang w:val="it-IT"/>
        </w:rPr>
        <w:t xml:space="preserve">. In the cases identified where this information is available </w:t>
      </w:r>
      <w:r w:rsidRPr="00F66DB0">
        <w:rPr>
          <w:sz w:val="24"/>
          <w:szCs w:val="24"/>
          <w:lang w:val="it-IT"/>
        </w:rPr>
        <w:fldChar w:fldCharType="begin" w:fldLock="1"/>
      </w:r>
      <w:r w:rsidRPr="00F66DB0">
        <w:rPr>
          <w:sz w:val="24"/>
          <w:szCs w:val="24"/>
          <w:lang w:val="it-IT"/>
        </w:rPr>
        <w:instrText>ADDIN CSL_CITATION { "citationItems" : [ { "id" : "ITEM-1", "itemData" : { "DOI" : "10.1007/s11077-011-9141-7", "abstract" : "Diversity is generally recognized as a key issue for learning in stakeholder dialogue on wicked sustainability issues. Yet the question on how design of stakeholder dialogue and supporting methods actually enhance learning in stakeholder dialogue deserves more attention. This paper presents constructive conflict as a central design issue for stakeholder dialogue. This means that a dialogue entails the articulation of a diversity of perspectives and the confrontation of claims and ideas based on these perspectives. Building on three properties of diversity (variety, balance and disparity), the methodo-logical implications of constructive conflict as a central design issue will be derived. These implications are structured according to three design steps: stakeholder identification and selection, articulation of perspectives and confrontation of claims and ideas. It is argued that social scientific methods are needed to support design of stakeholder dialogue. Q methodology is presented as an example that was used in a stakeholder dialogue on sustainable biomass in the Netherlands to identify stakeholder perspectives, to select stakeholders and to structure the dialogue. The paper wraps up with conclusions on con-structive conflict as a design issue.", "author" : [ { "dropping-particle" : "", "family" : "Cuppen", "given" : "Eefje", "non-dropping-particle" : "", "parse-names" : false, "suffix" : "" } ], "id" : "ITEM-1", "issued" : { "date-parts" : [ [ "2011" ] ] }, "title" : "Diversity and constructive conflict in stakeholder dialogue: considerations for design and methods", "type" : "article-journal" }, "uris" : [ "http://www.mendeley.com/documents/?uuid=bd8b7657-fce3-4485-9b46-fdbee16bceb0" ] }, { "id" : "ITEM-2", "itemData" : { "DOI" : "10.1007/s11077-009-9095-1", "abstract" : "This article explores the complex relationship between democracy and long-term policy design for sustainability. At one extreme, democracy can be framed as problematic for policy planning because of the myopia fostered by some democratic institutions, such as regular elections. Alternatively, democracy can be seen as an ally of long-term policy design to the extent that it can generate public legitimacy and account-ability, and potentially foster more equitable and just outcomes. Recent debates on how to 'manage' policy transitions to sustainability have been curiously silent on democratic matters, despite their potential implications for democracy. To explore what democracy might mean for transition management this article considers empirically how actors engaged in the Dutch Energy Transition Program make democratic sense of their activities. The analysis finds that in practice transition policies promote implicit narratives or dem-ocratic storylines on how reforms should be developed, who should participate in these, and how they should be legitimised and accountable to the public. The dominant narrative, which espouses elite theory and technocracy, privileges epistemic matters over democratic considerations. Other democratic storylines draw on representative democracy and interest group pluralism. The paper considers some possible ways to foster more productive interfaces between the governance structures of transition management, and the polycentric context of contemporary democratic systems.", "author" : [ { "dropping-particle" : "", "family" : "Hendriks", "given" : "Carolyn M", "non-dropping-particle" : "", "parse-names" : false, "suffix" : "" } ], "container-title" : "Policy Sci", "id" : "ITEM-2", "issued" : { "date-parts" : [ [ "2009" ] ] }, "page" : "341-368", "title" : "Policy design without democracy? Making democratic sense of transition management", "type" : "article-journal", "volume" : "42" }, "uris" : [ "http://www.mendeley.com/documents/?uuid=e73196f8-7671-4109-9c35-3e90e9075e40" ] } ], "mendeley" : { "formattedCitation" : "(Cuppen 2011; Hendriks 2009)", "manualFormatting" : "(see Cuppen 2011; Hendriks 2009)", "plainTextFormattedCitation" : "(Cuppen 2011; Hendriks 2009)", "previouslyFormattedCitation" : "(Cuppen 2011; Hendriks 2009)" }, "properties" : {  }, "schema" : "https://github.com/citation-style-language/schema/raw/master/csl-citation.json" }</w:instrText>
      </w:r>
      <w:r w:rsidRPr="00F66DB0">
        <w:rPr>
          <w:sz w:val="24"/>
          <w:szCs w:val="24"/>
          <w:lang w:val="it-IT"/>
        </w:rPr>
        <w:fldChar w:fldCharType="separate"/>
      </w:r>
      <w:r w:rsidRPr="00F66DB0">
        <w:rPr>
          <w:sz w:val="24"/>
          <w:szCs w:val="24"/>
          <w:lang w:val="it-IT"/>
        </w:rPr>
        <w:t>(see Cuppen 2011; Hendriks 2009)</w:t>
      </w:r>
      <w:r w:rsidRPr="00F66DB0">
        <w:rPr>
          <w:sz w:val="24"/>
          <w:szCs w:val="24"/>
        </w:rPr>
        <w:fldChar w:fldCharType="end"/>
      </w:r>
      <w:r w:rsidRPr="00F66DB0">
        <w:rPr>
          <w:sz w:val="24"/>
          <w:szCs w:val="24"/>
          <w:lang w:val="it-IT"/>
        </w:rPr>
        <w:t xml:space="preserve">, the types of expert witnesses were a range of knowledge experts from NGOs and other public bodies deemed to be on either side of the argumnt, or in two cases government actors deemed to be neutral. </w:t>
      </w:r>
    </w:p>
    <w:p w:rsidR="00F66DB0" w:rsidRPr="00F66DB0" w:rsidRDefault="00F66DB0" w:rsidP="00F66DB0">
      <w:pPr>
        <w:jc w:val="both"/>
        <w:rPr>
          <w:sz w:val="24"/>
          <w:szCs w:val="24"/>
          <w:lang w:val="it-IT"/>
        </w:rPr>
      </w:pPr>
      <w:r w:rsidRPr="00F66DB0">
        <w:rPr>
          <w:sz w:val="24"/>
          <w:szCs w:val="24"/>
          <w:lang w:val="it-IT"/>
        </w:rPr>
        <w:t>However, in one case</w:t>
      </w:r>
      <w:r>
        <w:rPr>
          <w:sz w:val="24"/>
          <w:szCs w:val="24"/>
          <w:lang w:val="it-IT"/>
        </w:rPr>
        <w:t xml:space="preserve"> (no.37)</w:t>
      </w:r>
      <w:r w:rsidRPr="00F66DB0">
        <w:rPr>
          <w:sz w:val="24"/>
          <w:szCs w:val="24"/>
          <w:lang w:val="it-IT"/>
        </w:rPr>
        <w:t xml:space="preserve"> the organisers allowed jurors to choose witnessses, whom they then invited and briefed. The reports indicate that allowing particpants to select expert witnesses influences their engagement with evidence  </w:t>
      </w:r>
      <w:r w:rsidRPr="00F66DB0">
        <w:rPr>
          <w:sz w:val="24"/>
          <w:szCs w:val="24"/>
          <w:lang w:val="it-IT"/>
        </w:rPr>
        <w:fldChar w:fldCharType="begin" w:fldLock="1"/>
      </w:r>
      <w:r w:rsidRPr="00F66DB0">
        <w:rPr>
          <w:sz w:val="24"/>
          <w:szCs w:val="24"/>
          <w:lang w:val="it-IT"/>
        </w:rPr>
        <w:instrText>ADDIN CSL_CITATION { "citationItems" : [ { "id" : "ITEM-1", "itemData" : { "DOI" : "10.1007/s11077-007-9046-7", "ISBN" : "00322687", "ISSN" : "00322687", "PMID" : "12658535", "abstract" : "Citizens' juries are a form of \"minipublics,\" small-scale experiments with citizen participation in public decision-making. The article presents a theoretical argument that improves understanding relating to the design of the citizens' jury. We develop the claim that two discourses on democracy can be discerned: the deliberative and the pluralist. By looking at the design features of citizens' juries we conclude that they are based on pluralist reasoning to a far greater extent than most authors seem to realize, and that the association with deliberative democracy is therefore one-sided. Based on empirical findings, we attempt to shed further light on the actual operation of citizens' juries. Observations of two recent Dutch juries suggest on the one hand that a learning process and a positive effect on the sense of political involvement occurred. On the other hand, we saw a certain level of groupthink in one of the citizens' juries, and found that the juries are not greatly representative in terms of political preferences. Our findings point firstly to a need for greater awareness among the organizers of juries of the two democratic discourses. This would lead to more consistent jury design. Secondly, our research emphasizes the need for more hands-on critical research of minipublics", "author" : [ { "dropping-particle" : "", "family" : "Huitema", "given" : "Dave", "non-dropping-particle" : "", "parse-names" : false, "suffix" : "" }, { "dropping-particle" : "", "family" : "Kerkhof", "given" : "Marleen", "non-dropping-particle" : "van de", "parse-names" : false, "suffix" : "" }, { "dropping-particle" : "", "family" : "Pesch", "given" : "Udo", "non-dropping-particle" : "", "parse-names" : false, "suffix" : "" } ], "container-title" : "Policy Sciences", "id" : "ITEM-1", "issue" : "4", "issued" : { "date-parts" : [ [ "2007", "12", "15" ] ] }, "page" : "287-311", "title" : "The nature of the beast: Are citizens' juries deliberative or pluralist?", "type" : "article-journal", "volume" : "40" }, "locator" : "209", "uris" : [ "http://www.mendeley.com/documents/?uuid=5689aa05-8c78-4abb-8774-2316050f589c" ] } ], "mendeley" : { "formattedCitation" : "(Huitema et al. 2007, p.209)", "plainTextFormattedCitation" : "(Huitema et al. 2007, p.209)", "previouslyFormattedCitation" : "(Huitema et al. 2007, p.209)" }, "properties" : {  }, "schema" : "https://github.com/citation-style-language/schema/raw/master/csl-citation.json" }</w:instrText>
      </w:r>
      <w:r w:rsidRPr="00F66DB0">
        <w:rPr>
          <w:sz w:val="24"/>
          <w:szCs w:val="24"/>
          <w:lang w:val="it-IT"/>
        </w:rPr>
        <w:fldChar w:fldCharType="separate"/>
      </w:r>
      <w:r w:rsidRPr="00F66DB0">
        <w:rPr>
          <w:sz w:val="24"/>
          <w:szCs w:val="24"/>
          <w:lang w:val="it-IT"/>
        </w:rPr>
        <w:t>(Huitema et al. 2007: 209)</w:t>
      </w:r>
      <w:r w:rsidRPr="00F66DB0">
        <w:rPr>
          <w:sz w:val="24"/>
          <w:szCs w:val="24"/>
        </w:rPr>
        <w:fldChar w:fldCharType="end"/>
      </w:r>
      <w:r w:rsidRPr="00F66DB0">
        <w:rPr>
          <w:sz w:val="24"/>
          <w:szCs w:val="24"/>
          <w:lang w:val="it-IT"/>
        </w:rPr>
        <w:t xml:space="preserve">. In this case the citizens requested that government officials be brought in to create a more ‘neutrel’ expert witness panel, and it was found that ‘interactions with the witnesses had enlarged their knowledge” </w:t>
      </w:r>
      <w:r w:rsidRPr="00F66DB0">
        <w:rPr>
          <w:sz w:val="24"/>
          <w:szCs w:val="24"/>
          <w:lang w:val="it-IT"/>
        </w:rPr>
        <w:fldChar w:fldCharType="begin" w:fldLock="1"/>
      </w:r>
      <w:r w:rsidRPr="00F66DB0">
        <w:rPr>
          <w:sz w:val="24"/>
          <w:szCs w:val="24"/>
          <w:lang w:val="it-IT"/>
        </w:rPr>
        <w:instrText>ADDIN CSL_CITATION { "citationItems" : [ { "id" : "ITEM-1", "itemData" : { "DOI" : "10.1007/s11077-007-9046-7", "ISBN" : "00322687", "ISSN" : "00322687", "PMID" : "12658535", "abstract" : "Citizens' juries are a form of \"minipublics,\" small-scale experiments with citizen participation in public decision-making. The article presents a theoretical argument that improves understanding relating to the design of the citizens' jury. We develop the claim that two discourses on democracy can be discerned: the deliberative and the pluralist. By looking at the design features of citizens' juries we conclude that they are based on pluralist reasoning to a far greater extent than most authors seem to realize, and that the association with deliberative democracy is therefore one-sided. Based on empirical findings, we attempt to shed further light on the actual operation of citizens' juries. Observations of two recent Dutch juries suggest on the one hand that a learning process and a positive effect on the sense of political involvement occurred. On the other hand, we saw a certain level of groupthink in one of the citizens' juries, and found that the juries are not greatly representative in terms of political preferences. Our findings point firstly to a need for greater awareness among the organizers of juries of the two democratic discourses. This would lead to more consistent jury design. Secondly, our research emphasizes the need for more hands-on critical research of minipublics", "author" : [ { "dropping-particle" : "", "family" : "Huitema", "given" : "Dave", "non-dropping-particle" : "", "parse-names" : false, "suffix" : "" }, { "dropping-particle" : "", "family" : "Kerkhof", "given" : "Marleen", "non-dropping-particle" : "van de", "parse-names" : false, "suffix" : "" }, { "dropping-particle" : "", "family" : "Pesch", "given" : "Udo", "non-dropping-particle" : "", "parse-names" : false, "suffix" : "" } ], "container-title" : "Policy Sciences", "id" : "ITEM-1", "issue" : "4", "issued" : { "date-parts" : [ [ "2007", "12", "15" ] ] }, "page" : "287-311", "title" : "The nature of the beast: Are citizens' juries deliberative or pluralist?", "type" : "article-journal", "volume" : "40" }, "locator" : "303", "uris" : [ "http://www.mendeley.com/documents/?uuid=5689aa05-8c78-4abb-8774-2316050f589c" ] } ], "mendeley" : { "formattedCitation" : "(Huitema et al. 2007, p.303)", "plainTextFormattedCitation" : "(Huitema et al. 2007, p.303)", "previouslyFormattedCitation" : "(Huitema et al. 2007, p.303)" }, "properties" : {  }, "schema" : "https://github.com/citation-style-language/schema/raw/master/csl-citation.json" }</w:instrText>
      </w:r>
      <w:r w:rsidRPr="00F66DB0">
        <w:rPr>
          <w:sz w:val="24"/>
          <w:szCs w:val="24"/>
          <w:lang w:val="it-IT"/>
        </w:rPr>
        <w:fldChar w:fldCharType="separate"/>
      </w:r>
      <w:r>
        <w:rPr>
          <w:sz w:val="24"/>
          <w:szCs w:val="24"/>
          <w:lang w:val="it-IT"/>
        </w:rPr>
        <w:t xml:space="preserve">(Huitema et al. 2007: </w:t>
      </w:r>
      <w:r w:rsidRPr="00F66DB0">
        <w:rPr>
          <w:sz w:val="24"/>
          <w:szCs w:val="24"/>
          <w:lang w:val="it-IT"/>
        </w:rPr>
        <w:t>303)</w:t>
      </w:r>
      <w:r w:rsidRPr="00F66DB0">
        <w:rPr>
          <w:sz w:val="24"/>
          <w:szCs w:val="24"/>
        </w:rPr>
        <w:fldChar w:fldCharType="end"/>
      </w:r>
      <w:r w:rsidRPr="00F66DB0">
        <w:rPr>
          <w:sz w:val="24"/>
          <w:szCs w:val="24"/>
          <w:lang w:val="it-IT"/>
        </w:rPr>
        <w:t xml:space="preserve">, when the witnesses were selected by the the particpataing citizens. </w:t>
      </w:r>
      <w:r w:rsidRPr="00F66DB0">
        <w:rPr>
          <w:sz w:val="24"/>
          <w:szCs w:val="24"/>
        </w:rPr>
        <w:t xml:space="preserve">This suggests evidence that is considered ‘neutral’ by participants is more likely to impact or </w:t>
      </w:r>
      <w:r w:rsidRPr="00F66DB0">
        <w:rPr>
          <w:sz w:val="24"/>
          <w:szCs w:val="24"/>
        </w:rPr>
        <w:lastRenderedPageBreak/>
        <w:t>influence on their recommendations.</w:t>
      </w:r>
      <w:r w:rsidRPr="00F66DB0">
        <w:rPr>
          <w:sz w:val="24"/>
          <w:szCs w:val="24"/>
          <w:lang w:val="it-IT"/>
        </w:rPr>
        <w:t xml:space="preserve"> Citizen-particpants’ felt that the witnesses’ presentations had increased their ability to make informed judgments and formulate recommendations. </w:t>
      </w:r>
    </w:p>
    <w:p w:rsidR="00A400D3" w:rsidRDefault="00F66DB0" w:rsidP="00DE35AF">
      <w:pPr>
        <w:jc w:val="both"/>
        <w:rPr>
          <w:sz w:val="24"/>
          <w:szCs w:val="24"/>
          <w:lang w:val="it-IT"/>
        </w:rPr>
      </w:pPr>
      <w:r>
        <w:rPr>
          <w:sz w:val="24"/>
          <w:szCs w:val="24"/>
          <w:lang w:val="it-IT"/>
        </w:rPr>
        <w:t>Another interesting case</w:t>
      </w:r>
      <w:r w:rsidR="00A400D3" w:rsidRPr="00A400D3">
        <w:rPr>
          <w:sz w:val="24"/>
          <w:szCs w:val="24"/>
          <w:lang w:val="it-IT"/>
        </w:rPr>
        <w:t xml:space="preserve"> is the Citizens’ Jury in </w:t>
      </w:r>
      <w:r w:rsidR="00975E66">
        <w:rPr>
          <w:sz w:val="24"/>
          <w:szCs w:val="24"/>
          <w:lang w:val="it-IT"/>
        </w:rPr>
        <w:t>Bayern</w:t>
      </w:r>
      <w:r>
        <w:rPr>
          <w:sz w:val="24"/>
          <w:szCs w:val="24"/>
          <w:lang w:val="it-IT"/>
        </w:rPr>
        <w:t xml:space="preserve"> (case no.30)</w:t>
      </w:r>
      <w:r w:rsidR="00975E66">
        <w:rPr>
          <w:sz w:val="24"/>
          <w:szCs w:val="24"/>
          <w:lang w:val="it-IT"/>
        </w:rPr>
        <w:t>. Here the lines between ‘expert’ and ‘participant’</w:t>
      </w:r>
      <w:r w:rsidR="00A400D3" w:rsidRPr="00A400D3">
        <w:rPr>
          <w:sz w:val="24"/>
          <w:szCs w:val="24"/>
          <w:lang w:val="it-IT"/>
        </w:rPr>
        <w:t xml:space="preserve"> became blurred. Participa</w:t>
      </w:r>
      <w:r w:rsidR="00975E66">
        <w:rPr>
          <w:sz w:val="24"/>
          <w:szCs w:val="24"/>
          <w:lang w:val="it-IT"/>
        </w:rPr>
        <w:t>nts could volunteeer to act as ‘ambassadors’</w:t>
      </w:r>
      <w:r w:rsidR="00A400D3" w:rsidRPr="00A400D3">
        <w:rPr>
          <w:sz w:val="24"/>
          <w:szCs w:val="24"/>
          <w:lang w:val="it-IT"/>
        </w:rPr>
        <w:t xml:space="preserve"> to pursue issues on behalf of the expert panel, and to then present evidence. This was one of the tactics deployed which helped empower the participants to feel more confident about the evidence on the topic (European Commission 2014).</w:t>
      </w:r>
    </w:p>
    <w:p w:rsidR="00F66DB0" w:rsidRDefault="00F66DB0" w:rsidP="00DE35AF">
      <w:pPr>
        <w:jc w:val="both"/>
        <w:rPr>
          <w:sz w:val="24"/>
          <w:szCs w:val="24"/>
          <w:lang w:val="it-IT"/>
        </w:rPr>
      </w:pPr>
    </w:p>
    <w:p w:rsidR="00A400D3" w:rsidRDefault="00F66DB0" w:rsidP="00A400D3">
      <w:pPr>
        <w:rPr>
          <w:b/>
          <w:color w:val="0B5484" w:themeColor="accent1" w:themeShade="80"/>
          <w:sz w:val="24"/>
          <w:szCs w:val="24"/>
        </w:rPr>
      </w:pPr>
      <w:r w:rsidRPr="00C82A8C">
        <w:rPr>
          <w:b/>
          <w:bCs/>
          <w:color w:val="0B5484" w:themeColor="accent1" w:themeShade="80"/>
          <w:sz w:val="24"/>
          <w:szCs w:val="24"/>
        </w:rPr>
        <w:t xml:space="preserve">Table </w:t>
      </w:r>
      <w:r>
        <w:rPr>
          <w:b/>
          <w:bCs/>
          <w:color w:val="0B5484" w:themeColor="accent1" w:themeShade="80"/>
          <w:sz w:val="24"/>
          <w:szCs w:val="24"/>
        </w:rPr>
        <w:t xml:space="preserve">13: </w:t>
      </w:r>
      <w:r>
        <w:rPr>
          <w:b/>
          <w:color w:val="0B5484" w:themeColor="accent1" w:themeShade="80"/>
          <w:sz w:val="24"/>
          <w:szCs w:val="24"/>
        </w:rPr>
        <w:t>Germany</w:t>
      </w:r>
      <w:r w:rsidRPr="00C82A8C">
        <w:rPr>
          <w:b/>
          <w:color w:val="0B5484" w:themeColor="accent1" w:themeShade="80"/>
          <w:sz w:val="24"/>
          <w:szCs w:val="24"/>
        </w:rPr>
        <w:t xml:space="preserve"> and </w:t>
      </w:r>
      <w:r>
        <w:rPr>
          <w:b/>
          <w:color w:val="0B5484" w:themeColor="accent1" w:themeShade="80"/>
          <w:sz w:val="24"/>
          <w:szCs w:val="24"/>
        </w:rPr>
        <w:t xml:space="preserve">The Netherlands: </w:t>
      </w:r>
      <w:r>
        <w:rPr>
          <w:b/>
          <w:bCs/>
          <w:color w:val="0B5484" w:themeColor="accent1" w:themeShade="80"/>
          <w:sz w:val="24"/>
          <w:szCs w:val="24"/>
        </w:rPr>
        <w:t>Witnesses and Evidence in</w:t>
      </w:r>
      <w:r w:rsidRPr="00C82A8C">
        <w:rPr>
          <w:b/>
          <w:bCs/>
          <w:color w:val="0B5484" w:themeColor="accent1" w:themeShade="80"/>
          <w:sz w:val="24"/>
          <w:szCs w:val="24"/>
        </w:rPr>
        <w:t xml:space="preserve"> </w:t>
      </w:r>
      <w:r>
        <w:rPr>
          <w:b/>
          <w:color w:val="0B5484" w:themeColor="accent1" w:themeShade="80"/>
          <w:sz w:val="24"/>
          <w:szCs w:val="24"/>
        </w:rPr>
        <w:t xml:space="preserve">Mini-Public </w:t>
      </w:r>
      <w:r w:rsidRPr="00C82A8C">
        <w:rPr>
          <w:b/>
          <w:color w:val="0B5484" w:themeColor="accent1" w:themeShade="80"/>
          <w:sz w:val="24"/>
          <w:szCs w:val="24"/>
        </w:rPr>
        <w:t>Cases</w:t>
      </w:r>
    </w:p>
    <w:tbl>
      <w:tblPr>
        <w:tblStyle w:val="TableGrid"/>
        <w:tblW w:w="11199" w:type="dxa"/>
        <w:tblInd w:w="-998" w:type="dxa"/>
        <w:tblLook w:val="04A0" w:firstRow="1" w:lastRow="0" w:firstColumn="1" w:lastColumn="0" w:noHBand="0" w:noVBand="1"/>
      </w:tblPr>
      <w:tblGrid>
        <w:gridCol w:w="567"/>
        <w:gridCol w:w="3134"/>
        <w:gridCol w:w="1120"/>
        <w:gridCol w:w="1616"/>
        <w:gridCol w:w="1308"/>
        <w:gridCol w:w="1104"/>
        <w:gridCol w:w="2350"/>
      </w:tblGrid>
      <w:tr w:rsidR="00F66DB0" w:rsidTr="0005094B">
        <w:tc>
          <w:tcPr>
            <w:tcW w:w="567" w:type="dxa"/>
          </w:tcPr>
          <w:p w:rsidR="00F66DB0" w:rsidRPr="00C4576A" w:rsidRDefault="00F66DB0" w:rsidP="0005094B">
            <w:pPr>
              <w:rPr>
                <w:rFonts w:cstheme="minorHAnsi"/>
                <w:b/>
                <w:i/>
                <w:color w:val="0B5484" w:themeColor="accent1" w:themeShade="80"/>
                <w:sz w:val="20"/>
                <w:szCs w:val="20"/>
              </w:rPr>
            </w:pPr>
            <w:r w:rsidRPr="00C4576A">
              <w:rPr>
                <w:rFonts w:cstheme="minorHAnsi"/>
                <w:b/>
                <w:i/>
                <w:color w:val="0B5484" w:themeColor="accent1" w:themeShade="80"/>
                <w:sz w:val="20"/>
                <w:szCs w:val="20"/>
              </w:rPr>
              <w:t>No.</w:t>
            </w:r>
          </w:p>
        </w:tc>
        <w:tc>
          <w:tcPr>
            <w:tcW w:w="3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66DB0" w:rsidRPr="00C4576A" w:rsidRDefault="00F66DB0" w:rsidP="0005094B">
            <w:pPr>
              <w:rPr>
                <w:rFonts w:cstheme="minorHAnsi"/>
                <w:b/>
                <w:bCs/>
                <w:i/>
                <w:color w:val="0B5484" w:themeColor="accent1" w:themeShade="80"/>
                <w:sz w:val="20"/>
                <w:szCs w:val="20"/>
              </w:rPr>
            </w:pPr>
            <w:r w:rsidRPr="00C4576A">
              <w:rPr>
                <w:rFonts w:cstheme="minorHAnsi"/>
                <w:b/>
                <w:bCs/>
                <w:i/>
                <w:color w:val="0B5484" w:themeColor="accent1" w:themeShade="80"/>
                <w:sz w:val="20"/>
                <w:szCs w:val="20"/>
              </w:rPr>
              <w:t>Activities</w:t>
            </w:r>
          </w:p>
        </w:tc>
        <w:tc>
          <w:tcPr>
            <w:tcW w:w="1120" w:type="dxa"/>
            <w:tcBorders>
              <w:top w:val="single" w:sz="4" w:space="0" w:color="auto"/>
              <w:left w:val="nil"/>
              <w:bottom w:val="single" w:sz="4" w:space="0" w:color="auto"/>
              <w:right w:val="single" w:sz="4" w:space="0" w:color="auto"/>
            </w:tcBorders>
            <w:shd w:val="clear" w:color="auto" w:fill="FFFFFF" w:themeFill="background1"/>
            <w:vAlign w:val="center"/>
          </w:tcPr>
          <w:p w:rsidR="00F66DB0" w:rsidRPr="00C4576A" w:rsidRDefault="00F66DB0" w:rsidP="0005094B">
            <w:pPr>
              <w:rPr>
                <w:rFonts w:cstheme="minorHAnsi"/>
                <w:b/>
                <w:bCs/>
                <w:i/>
                <w:color w:val="0B5484" w:themeColor="accent1" w:themeShade="80"/>
                <w:sz w:val="20"/>
                <w:szCs w:val="20"/>
              </w:rPr>
            </w:pPr>
            <w:r w:rsidRPr="00C4576A">
              <w:rPr>
                <w:rFonts w:cstheme="minorHAnsi"/>
                <w:b/>
                <w:bCs/>
                <w:i/>
                <w:color w:val="0B5484" w:themeColor="accent1" w:themeShade="80"/>
                <w:sz w:val="20"/>
                <w:szCs w:val="20"/>
              </w:rPr>
              <w:t xml:space="preserve">No. </w:t>
            </w:r>
          </w:p>
          <w:p w:rsidR="00F66DB0" w:rsidRPr="00C4576A" w:rsidRDefault="00F66DB0" w:rsidP="0005094B">
            <w:pPr>
              <w:rPr>
                <w:rFonts w:cstheme="minorHAnsi"/>
                <w:b/>
                <w:bCs/>
                <w:i/>
                <w:color w:val="0B5484" w:themeColor="accent1" w:themeShade="80"/>
                <w:sz w:val="20"/>
                <w:szCs w:val="20"/>
              </w:rPr>
            </w:pPr>
            <w:r w:rsidRPr="00C4576A">
              <w:rPr>
                <w:rFonts w:cstheme="minorHAnsi"/>
                <w:b/>
                <w:bCs/>
                <w:i/>
                <w:color w:val="0B5484" w:themeColor="accent1" w:themeShade="80"/>
                <w:sz w:val="20"/>
                <w:szCs w:val="20"/>
              </w:rPr>
              <w:t>witnesses</w:t>
            </w:r>
          </w:p>
        </w:tc>
        <w:tc>
          <w:tcPr>
            <w:tcW w:w="1616" w:type="dxa"/>
            <w:tcBorders>
              <w:top w:val="single" w:sz="4" w:space="0" w:color="auto"/>
              <w:left w:val="nil"/>
              <w:bottom w:val="single" w:sz="4" w:space="0" w:color="auto"/>
              <w:right w:val="single" w:sz="4" w:space="0" w:color="auto"/>
            </w:tcBorders>
            <w:shd w:val="clear" w:color="auto" w:fill="FFFFFF" w:themeFill="background1"/>
            <w:vAlign w:val="center"/>
          </w:tcPr>
          <w:p w:rsidR="00F66DB0" w:rsidRPr="00C4576A" w:rsidRDefault="00F66DB0" w:rsidP="0005094B">
            <w:pPr>
              <w:rPr>
                <w:rFonts w:cstheme="minorHAnsi"/>
                <w:b/>
                <w:bCs/>
                <w:i/>
                <w:color w:val="0B5484" w:themeColor="accent1" w:themeShade="80"/>
                <w:sz w:val="20"/>
                <w:szCs w:val="20"/>
              </w:rPr>
            </w:pPr>
            <w:r w:rsidRPr="00C4576A">
              <w:rPr>
                <w:rFonts w:cstheme="minorHAnsi"/>
                <w:b/>
                <w:bCs/>
                <w:i/>
                <w:color w:val="0B5484" w:themeColor="accent1" w:themeShade="80"/>
                <w:sz w:val="20"/>
                <w:szCs w:val="20"/>
              </w:rPr>
              <w:t>Type of witnesses</w:t>
            </w:r>
          </w:p>
        </w:tc>
        <w:tc>
          <w:tcPr>
            <w:tcW w:w="1308" w:type="dxa"/>
            <w:tcBorders>
              <w:top w:val="single" w:sz="4" w:space="0" w:color="auto"/>
              <w:left w:val="nil"/>
              <w:bottom w:val="single" w:sz="4" w:space="0" w:color="auto"/>
              <w:right w:val="single" w:sz="4" w:space="0" w:color="auto"/>
            </w:tcBorders>
            <w:shd w:val="clear" w:color="auto" w:fill="FFFFFF" w:themeFill="background1"/>
            <w:vAlign w:val="center"/>
          </w:tcPr>
          <w:p w:rsidR="00F66DB0" w:rsidRPr="00C4576A" w:rsidRDefault="00F66DB0" w:rsidP="0005094B">
            <w:pPr>
              <w:rPr>
                <w:rFonts w:cstheme="minorHAnsi"/>
                <w:b/>
                <w:bCs/>
                <w:i/>
                <w:color w:val="0B5484" w:themeColor="accent1" w:themeShade="80"/>
                <w:sz w:val="20"/>
                <w:szCs w:val="20"/>
              </w:rPr>
            </w:pPr>
            <w:r w:rsidRPr="00C4576A">
              <w:rPr>
                <w:rFonts w:cstheme="minorHAnsi"/>
                <w:b/>
                <w:bCs/>
                <w:i/>
                <w:color w:val="0B5484" w:themeColor="accent1" w:themeShade="80"/>
                <w:sz w:val="20"/>
                <w:szCs w:val="20"/>
              </w:rPr>
              <w:t>Witness recruitment method</w:t>
            </w:r>
          </w:p>
        </w:tc>
        <w:tc>
          <w:tcPr>
            <w:tcW w:w="1104" w:type="dxa"/>
            <w:tcBorders>
              <w:top w:val="single" w:sz="4" w:space="0" w:color="auto"/>
              <w:left w:val="nil"/>
              <w:bottom w:val="single" w:sz="4" w:space="0" w:color="auto"/>
              <w:right w:val="single" w:sz="4" w:space="0" w:color="auto"/>
            </w:tcBorders>
            <w:shd w:val="clear" w:color="auto" w:fill="FFFFFF" w:themeFill="background1"/>
            <w:vAlign w:val="center"/>
          </w:tcPr>
          <w:p w:rsidR="00F66DB0" w:rsidRPr="00C4576A" w:rsidRDefault="00F66DB0" w:rsidP="0005094B">
            <w:pPr>
              <w:rPr>
                <w:rFonts w:cstheme="minorHAnsi"/>
                <w:b/>
                <w:bCs/>
                <w:i/>
                <w:color w:val="0B5484" w:themeColor="accent1" w:themeShade="80"/>
                <w:sz w:val="20"/>
                <w:szCs w:val="20"/>
              </w:rPr>
            </w:pPr>
            <w:r w:rsidRPr="00C4576A">
              <w:rPr>
                <w:rFonts w:cstheme="minorHAnsi"/>
                <w:b/>
                <w:bCs/>
                <w:i/>
                <w:color w:val="0B5484" w:themeColor="accent1" w:themeShade="80"/>
                <w:sz w:val="20"/>
                <w:szCs w:val="20"/>
              </w:rPr>
              <w:t>No. witness sessions</w:t>
            </w:r>
          </w:p>
        </w:tc>
        <w:tc>
          <w:tcPr>
            <w:tcW w:w="2350" w:type="dxa"/>
            <w:tcBorders>
              <w:top w:val="single" w:sz="4" w:space="0" w:color="auto"/>
              <w:left w:val="nil"/>
              <w:bottom w:val="single" w:sz="4" w:space="0" w:color="auto"/>
              <w:right w:val="single" w:sz="4" w:space="0" w:color="auto"/>
            </w:tcBorders>
            <w:shd w:val="clear" w:color="auto" w:fill="FFFFFF" w:themeFill="background1"/>
            <w:vAlign w:val="center"/>
          </w:tcPr>
          <w:p w:rsidR="00F66DB0" w:rsidRPr="00C4576A" w:rsidRDefault="00F66DB0" w:rsidP="0005094B">
            <w:pPr>
              <w:rPr>
                <w:rFonts w:cstheme="minorHAnsi"/>
                <w:b/>
                <w:bCs/>
                <w:i/>
                <w:color w:val="0B5484" w:themeColor="accent1" w:themeShade="80"/>
                <w:sz w:val="20"/>
                <w:szCs w:val="20"/>
              </w:rPr>
            </w:pPr>
            <w:r w:rsidRPr="00C4576A">
              <w:rPr>
                <w:rFonts w:cstheme="minorHAnsi"/>
                <w:b/>
                <w:bCs/>
                <w:i/>
                <w:color w:val="0B5484" w:themeColor="accent1" w:themeShade="80"/>
                <w:sz w:val="20"/>
                <w:szCs w:val="20"/>
              </w:rPr>
              <w:t>Format of evidence presentation</w:t>
            </w:r>
          </w:p>
        </w:tc>
      </w:tr>
      <w:tr w:rsidR="00F66DB0" w:rsidTr="0005094B">
        <w:tc>
          <w:tcPr>
            <w:tcW w:w="567" w:type="dxa"/>
            <w:shd w:val="clear" w:color="auto" w:fill="ABD9F8" w:themeFill="accent1" w:themeFillTint="66"/>
            <w:vAlign w:val="center"/>
          </w:tcPr>
          <w:p w:rsidR="00F66DB0" w:rsidRPr="00987122" w:rsidRDefault="00F66DB0" w:rsidP="0005094B">
            <w:pPr>
              <w:rPr>
                <w:rFonts w:cstheme="minorHAnsi"/>
                <w:b/>
                <w:i/>
                <w:sz w:val="20"/>
                <w:szCs w:val="20"/>
              </w:rPr>
            </w:pPr>
            <w:r w:rsidRPr="00987122">
              <w:rPr>
                <w:rFonts w:cstheme="minorHAnsi"/>
                <w:b/>
                <w:i/>
                <w:sz w:val="20"/>
                <w:szCs w:val="20"/>
              </w:rPr>
              <w:t>30</w:t>
            </w:r>
          </w:p>
        </w:tc>
        <w:tc>
          <w:tcPr>
            <w:tcW w:w="3134" w:type="dxa"/>
            <w:tcBorders>
              <w:top w:val="single" w:sz="4" w:space="0" w:color="auto"/>
              <w:left w:val="single" w:sz="4" w:space="0" w:color="auto"/>
              <w:bottom w:val="single" w:sz="4" w:space="0" w:color="auto"/>
              <w:right w:val="single" w:sz="4" w:space="0" w:color="auto"/>
            </w:tcBorders>
            <w:shd w:val="clear" w:color="auto" w:fill="ABD9F8" w:themeFill="accent1" w:themeFillTint="66"/>
            <w:vAlign w:val="center"/>
          </w:tcPr>
          <w:p w:rsidR="00F66DB0" w:rsidRPr="002B4065" w:rsidRDefault="00F66DB0" w:rsidP="0005094B">
            <w:pPr>
              <w:rPr>
                <w:rFonts w:ascii="Calibri" w:hAnsi="Calibri" w:cs="Calibri"/>
                <w:color w:val="000000"/>
                <w:sz w:val="20"/>
                <w:szCs w:val="20"/>
              </w:rPr>
            </w:pPr>
            <w:r w:rsidRPr="002B4065">
              <w:rPr>
                <w:rFonts w:ascii="Calibri" w:hAnsi="Calibri" w:cs="Calibri"/>
                <w:color w:val="000000"/>
                <w:sz w:val="20"/>
                <w:szCs w:val="20"/>
              </w:rPr>
              <w:t>Facilitated and small group and plenary deliberations.</w:t>
            </w:r>
          </w:p>
        </w:tc>
        <w:tc>
          <w:tcPr>
            <w:tcW w:w="1120" w:type="dxa"/>
            <w:tcBorders>
              <w:top w:val="single" w:sz="4" w:space="0" w:color="auto"/>
              <w:left w:val="nil"/>
              <w:bottom w:val="single" w:sz="4" w:space="0" w:color="auto"/>
              <w:right w:val="single" w:sz="4" w:space="0" w:color="auto"/>
            </w:tcBorders>
            <w:shd w:val="clear" w:color="auto" w:fill="ABD9F8" w:themeFill="accent1" w:themeFillTint="66"/>
            <w:vAlign w:val="center"/>
          </w:tcPr>
          <w:p w:rsidR="00F66DB0" w:rsidRPr="002B4065" w:rsidRDefault="00F66DB0" w:rsidP="0005094B">
            <w:pPr>
              <w:rPr>
                <w:rFonts w:ascii="Calibri" w:hAnsi="Calibri" w:cs="Calibri"/>
                <w:color w:val="000000"/>
                <w:sz w:val="20"/>
                <w:szCs w:val="20"/>
              </w:rPr>
            </w:pPr>
            <w:r w:rsidRPr="002B4065">
              <w:rPr>
                <w:rFonts w:ascii="Calibri" w:hAnsi="Calibri" w:cs="Calibri"/>
                <w:color w:val="000000"/>
                <w:sz w:val="20"/>
                <w:szCs w:val="20"/>
              </w:rPr>
              <w:t>Don't know</w:t>
            </w:r>
          </w:p>
        </w:tc>
        <w:tc>
          <w:tcPr>
            <w:tcW w:w="1616" w:type="dxa"/>
            <w:tcBorders>
              <w:top w:val="single" w:sz="4" w:space="0" w:color="auto"/>
              <w:left w:val="nil"/>
              <w:bottom w:val="single" w:sz="4" w:space="0" w:color="auto"/>
              <w:right w:val="single" w:sz="4" w:space="0" w:color="auto"/>
            </w:tcBorders>
            <w:shd w:val="clear" w:color="auto" w:fill="ABD9F8" w:themeFill="accent1" w:themeFillTint="66"/>
            <w:vAlign w:val="center"/>
          </w:tcPr>
          <w:p w:rsidR="00F66DB0" w:rsidRPr="002B4065" w:rsidRDefault="00F66DB0" w:rsidP="0005094B">
            <w:pPr>
              <w:rPr>
                <w:rFonts w:ascii="Calibri" w:hAnsi="Calibri" w:cs="Calibri"/>
                <w:color w:val="000000"/>
                <w:sz w:val="20"/>
                <w:szCs w:val="20"/>
              </w:rPr>
            </w:pPr>
            <w:r w:rsidRPr="002B4065">
              <w:rPr>
                <w:rFonts w:ascii="Calibri" w:hAnsi="Calibri" w:cs="Calibri"/>
                <w:color w:val="000000"/>
                <w:sz w:val="20"/>
                <w:szCs w:val="20"/>
              </w:rPr>
              <w:t>Knowledge experts (scientists)</w:t>
            </w:r>
          </w:p>
        </w:tc>
        <w:tc>
          <w:tcPr>
            <w:tcW w:w="1308" w:type="dxa"/>
            <w:tcBorders>
              <w:top w:val="single" w:sz="4" w:space="0" w:color="auto"/>
              <w:left w:val="nil"/>
              <w:bottom w:val="single" w:sz="4" w:space="0" w:color="auto"/>
              <w:right w:val="single" w:sz="4" w:space="0" w:color="auto"/>
            </w:tcBorders>
            <w:shd w:val="clear" w:color="auto" w:fill="ABD9F8" w:themeFill="accent1" w:themeFillTint="66"/>
            <w:vAlign w:val="center"/>
          </w:tcPr>
          <w:p w:rsidR="00F66DB0" w:rsidRPr="002B4065" w:rsidRDefault="00F66DB0" w:rsidP="0005094B">
            <w:pPr>
              <w:rPr>
                <w:rFonts w:ascii="Calibri" w:hAnsi="Calibri" w:cs="Calibri"/>
                <w:color w:val="000000"/>
                <w:sz w:val="20"/>
                <w:szCs w:val="20"/>
              </w:rPr>
            </w:pPr>
            <w:r w:rsidRPr="002B4065">
              <w:rPr>
                <w:rFonts w:ascii="Calibri" w:hAnsi="Calibri" w:cs="Calibri"/>
                <w:color w:val="000000"/>
                <w:sz w:val="20"/>
                <w:szCs w:val="20"/>
              </w:rPr>
              <w:t>Don't know</w:t>
            </w:r>
          </w:p>
        </w:tc>
        <w:tc>
          <w:tcPr>
            <w:tcW w:w="1104" w:type="dxa"/>
            <w:tcBorders>
              <w:top w:val="single" w:sz="4" w:space="0" w:color="auto"/>
              <w:left w:val="nil"/>
              <w:bottom w:val="single" w:sz="4" w:space="0" w:color="auto"/>
              <w:right w:val="single" w:sz="4" w:space="0" w:color="auto"/>
            </w:tcBorders>
            <w:shd w:val="clear" w:color="auto" w:fill="ABD9F8" w:themeFill="accent1" w:themeFillTint="66"/>
            <w:vAlign w:val="center"/>
          </w:tcPr>
          <w:p w:rsidR="00F66DB0" w:rsidRPr="002B4065" w:rsidRDefault="00F66DB0" w:rsidP="0005094B">
            <w:pPr>
              <w:rPr>
                <w:rFonts w:ascii="Calibri" w:hAnsi="Calibri" w:cs="Calibri"/>
                <w:color w:val="000000"/>
                <w:sz w:val="20"/>
                <w:szCs w:val="20"/>
              </w:rPr>
            </w:pPr>
            <w:r w:rsidRPr="002B4065">
              <w:rPr>
                <w:rFonts w:ascii="Calibri" w:hAnsi="Calibri" w:cs="Calibri"/>
                <w:color w:val="000000"/>
                <w:sz w:val="20"/>
                <w:szCs w:val="20"/>
              </w:rPr>
              <w:t>Don't know</w:t>
            </w:r>
          </w:p>
        </w:tc>
        <w:tc>
          <w:tcPr>
            <w:tcW w:w="2350" w:type="dxa"/>
            <w:tcBorders>
              <w:top w:val="single" w:sz="4" w:space="0" w:color="auto"/>
              <w:left w:val="nil"/>
              <w:bottom w:val="single" w:sz="4" w:space="0" w:color="auto"/>
              <w:right w:val="single" w:sz="4" w:space="0" w:color="auto"/>
            </w:tcBorders>
            <w:shd w:val="clear" w:color="auto" w:fill="ABD9F8" w:themeFill="accent1" w:themeFillTint="66"/>
            <w:vAlign w:val="center"/>
          </w:tcPr>
          <w:p w:rsidR="00F66DB0" w:rsidRPr="002B4065" w:rsidRDefault="00F66DB0" w:rsidP="0005094B">
            <w:pPr>
              <w:rPr>
                <w:rFonts w:ascii="Calibri" w:hAnsi="Calibri" w:cs="Calibri"/>
                <w:color w:val="000000"/>
                <w:sz w:val="20"/>
                <w:szCs w:val="20"/>
              </w:rPr>
            </w:pPr>
            <w:r w:rsidRPr="002B4065">
              <w:rPr>
                <w:rFonts w:ascii="Calibri" w:hAnsi="Calibri" w:cs="Calibri"/>
                <w:color w:val="000000"/>
                <w:sz w:val="20"/>
                <w:szCs w:val="20"/>
              </w:rPr>
              <w:t>Expert presentations, expert testimony, Q&amp;A, facilitated discussion with audience</w:t>
            </w:r>
          </w:p>
        </w:tc>
      </w:tr>
      <w:tr w:rsidR="00F66DB0" w:rsidTr="0005094B">
        <w:tc>
          <w:tcPr>
            <w:tcW w:w="567" w:type="dxa"/>
            <w:vAlign w:val="center"/>
          </w:tcPr>
          <w:p w:rsidR="00F66DB0" w:rsidRPr="00987122" w:rsidRDefault="00F66DB0" w:rsidP="0005094B">
            <w:pPr>
              <w:rPr>
                <w:rFonts w:cstheme="minorHAnsi"/>
                <w:b/>
                <w:i/>
                <w:sz w:val="20"/>
                <w:szCs w:val="20"/>
              </w:rPr>
            </w:pPr>
            <w:r w:rsidRPr="00987122">
              <w:rPr>
                <w:rFonts w:cstheme="minorHAnsi"/>
                <w:b/>
                <w:i/>
                <w:sz w:val="20"/>
                <w:szCs w:val="20"/>
              </w:rPr>
              <w:t>31</w:t>
            </w:r>
          </w:p>
        </w:tc>
        <w:tc>
          <w:tcPr>
            <w:tcW w:w="3134" w:type="dxa"/>
            <w:tcBorders>
              <w:top w:val="nil"/>
              <w:left w:val="single" w:sz="4" w:space="0" w:color="auto"/>
              <w:bottom w:val="single" w:sz="4" w:space="0" w:color="auto"/>
              <w:right w:val="single" w:sz="4" w:space="0" w:color="auto"/>
            </w:tcBorders>
            <w:shd w:val="clear" w:color="auto" w:fill="auto"/>
            <w:vAlign w:val="center"/>
          </w:tcPr>
          <w:p w:rsidR="00F66DB0" w:rsidRPr="002B4065" w:rsidRDefault="00F66DB0" w:rsidP="0005094B">
            <w:pPr>
              <w:rPr>
                <w:rFonts w:ascii="Calibri" w:hAnsi="Calibri" w:cs="Calibri"/>
                <w:color w:val="000000"/>
                <w:sz w:val="20"/>
                <w:szCs w:val="20"/>
              </w:rPr>
            </w:pPr>
            <w:r w:rsidRPr="002B4065">
              <w:rPr>
                <w:rFonts w:ascii="Calibri" w:hAnsi="Calibri" w:cs="Calibri"/>
                <w:color w:val="000000"/>
                <w:sz w:val="20"/>
                <w:szCs w:val="20"/>
              </w:rPr>
              <w:t>Plenary discussion and voting</w:t>
            </w:r>
          </w:p>
        </w:tc>
        <w:tc>
          <w:tcPr>
            <w:tcW w:w="1120" w:type="dxa"/>
            <w:tcBorders>
              <w:top w:val="nil"/>
              <w:left w:val="nil"/>
              <w:bottom w:val="single" w:sz="4" w:space="0" w:color="auto"/>
              <w:right w:val="single" w:sz="4" w:space="0" w:color="auto"/>
            </w:tcBorders>
            <w:shd w:val="clear" w:color="auto" w:fill="auto"/>
            <w:vAlign w:val="center"/>
          </w:tcPr>
          <w:p w:rsidR="00F66DB0" w:rsidRPr="002B4065" w:rsidRDefault="00F66DB0" w:rsidP="0005094B">
            <w:pPr>
              <w:rPr>
                <w:rFonts w:ascii="Calibri" w:hAnsi="Calibri" w:cs="Calibri"/>
                <w:color w:val="000000"/>
                <w:sz w:val="20"/>
                <w:szCs w:val="20"/>
              </w:rPr>
            </w:pPr>
            <w:r w:rsidRPr="002B4065">
              <w:rPr>
                <w:rFonts w:ascii="Calibri" w:hAnsi="Calibri" w:cs="Calibri"/>
                <w:color w:val="000000"/>
                <w:sz w:val="20"/>
                <w:szCs w:val="20"/>
              </w:rPr>
              <w:t>Don't know</w:t>
            </w:r>
          </w:p>
        </w:tc>
        <w:tc>
          <w:tcPr>
            <w:tcW w:w="1616" w:type="dxa"/>
            <w:tcBorders>
              <w:top w:val="nil"/>
              <w:left w:val="nil"/>
              <w:bottom w:val="single" w:sz="4" w:space="0" w:color="auto"/>
              <w:right w:val="single" w:sz="4" w:space="0" w:color="auto"/>
            </w:tcBorders>
            <w:shd w:val="clear" w:color="auto" w:fill="auto"/>
            <w:vAlign w:val="center"/>
          </w:tcPr>
          <w:p w:rsidR="00F66DB0" w:rsidRPr="002B4065" w:rsidRDefault="00F66DB0" w:rsidP="0005094B">
            <w:pPr>
              <w:rPr>
                <w:rFonts w:ascii="Calibri" w:hAnsi="Calibri" w:cs="Calibri"/>
                <w:color w:val="000000"/>
                <w:sz w:val="20"/>
                <w:szCs w:val="20"/>
              </w:rPr>
            </w:pPr>
            <w:r w:rsidRPr="002B4065">
              <w:rPr>
                <w:rFonts w:ascii="Calibri" w:hAnsi="Calibri" w:cs="Calibri"/>
                <w:color w:val="000000"/>
                <w:sz w:val="20"/>
                <w:szCs w:val="20"/>
              </w:rPr>
              <w:t>Stakeholders (Public officials)</w:t>
            </w:r>
          </w:p>
        </w:tc>
        <w:tc>
          <w:tcPr>
            <w:tcW w:w="1308" w:type="dxa"/>
            <w:tcBorders>
              <w:top w:val="nil"/>
              <w:left w:val="nil"/>
              <w:bottom w:val="single" w:sz="4" w:space="0" w:color="auto"/>
              <w:right w:val="single" w:sz="4" w:space="0" w:color="auto"/>
            </w:tcBorders>
            <w:shd w:val="clear" w:color="auto" w:fill="auto"/>
            <w:vAlign w:val="center"/>
          </w:tcPr>
          <w:p w:rsidR="00F66DB0" w:rsidRPr="002B4065" w:rsidRDefault="00F66DB0" w:rsidP="0005094B">
            <w:pPr>
              <w:rPr>
                <w:rFonts w:ascii="Calibri" w:hAnsi="Calibri" w:cs="Calibri"/>
                <w:color w:val="000000"/>
                <w:sz w:val="20"/>
                <w:szCs w:val="20"/>
              </w:rPr>
            </w:pPr>
            <w:r w:rsidRPr="002B4065">
              <w:rPr>
                <w:rFonts w:ascii="Calibri" w:hAnsi="Calibri" w:cs="Calibri"/>
                <w:color w:val="000000"/>
                <w:sz w:val="20"/>
                <w:szCs w:val="20"/>
              </w:rPr>
              <w:t>Don't know</w:t>
            </w:r>
          </w:p>
        </w:tc>
        <w:tc>
          <w:tcPr>
            <w:tcW w:w="1104" w:type="dxa"/>
            <w:tcBorders>
              <w:top w:val="nil"/>
              <w:left w:val="nil"/>
              <w:bottom w:val="single" w:sz="4" w:space="0" w:color="auto"/>
              <w:right w:val="single" w:sz="4" w:space="0" w:color="auto"/>
            </w:tcBorders>
            <w:shd w:val="clear" w:color="auto" w:fill="auto"/>
            <w:vAlign w:val="center"/>
          </w:tcPr>
          <w:p w:rsidR="00F66DB0" w:rsidRPr="002B4065" w:rsidRDefault="00F66DB0" w:rsidP="0005094B">
            <w:pPr>
              <w:rPr>
                <w:rFonts w:ascii="Calibri" w:hAnsi="Calibri" w:cs="Calibri"/>
                <w:color w:val="000000"/>
                <w:sz w:val="20"/>
                <w:szCs w:val="20"/>
              </w:rPr>
            </w:pPr>
            <w:r w:rsidRPr="002B4065">
              <w:rPr>
                <w:rFonts w:ascii="Calibri" w:hAnsi="Calibri" w:cs="Calibri"/>
                <w:color w:val="000000"/>
                <w:sz w:val="20"/>
                <w:szCs w:val="20"/>
              </w:rPr>
              <w:t>Don't know</w:t>
            </w:r>
          </w:p>
        </w:tc>
        <w:tc>
          <w:tcPr>
            <w:tcW w:w="2350" w:type="dxa"/>
            <w:tcBorders>
              <w:top w:val="nil"/>
              <w:left w:val="nil"/>
              <w:bottom w:val="single" w:sz="4" w:space="0" w:color="auto"/>
              <w:right w:val="single" w:sz="4" w:space="0" w:color="auto"/>
            </w:tcBorders>
            <w:shd w:val="clear" w:color="auto" w:fill="auto"/>
            <w:vAlign w:val="center"/>
          </w:tcPr>
          <w:p w:rsidR="00F66DB0" w:rsidRPr="002B4065" w:rsidRDefault="00F66DB0" w:rsidP="0005094B">
            <w:pPr>
              <w:rPr>
                <w:rFonts w:ascii="Calibri" w:hAnsi="Calibri" w:cs="Calibri"/>
                <w:color w:val="000000"/>
                <w:sz w:val="20"/>
                <w:szCs w:val="20"/>
              </w:rPr>
            </w:pPr>
            <w:r w:rsidRPr="002B4065">
              <w:rPr>
                <w:rFonts w:ascii="Calibri" w:hAnsi="Calibri" w:cs="Calibri"/>
                <w:color w:val="000000"/>
                <w:sz w:val="20"/>
                <w:szCs w:val="20"/>
              </w:rPr>
              <w:t>Discussion</w:t>
            </w:r>
          </w:p>
        </w:tc>
      </w:tr>
      <w:tr w:rsidR="00F66DB0" w:rsidTr="0005094B">
        <w:tc>
          <w:tcPr>
            <w:tcW w:w="567" w:type="dxa"/>
            <w:shd w:val="clear" w:color="auto" w:fill="ABD9F8" w:themeFill="accent1" w:themeFillTint="66"/>
            <w:vAlign w:val="center"/>
          </w:tcPr>
          <w:p w:rsidR="00F66DB0" w:rsidRPr="00987122" w:rsidRDefault="00F66DB0" w:rsidP="0005094B">
            <w:pPr>
              <w:rPr>
                <w:rFonts w:cstheme="minorHAnsi"/>
                <w:b/>
                <w:i/>
                <w:sz w:val="20"/>
                <w:szCs w:val="20"/>
              </w:rPr>
            </w:pPr>
            <w:r w:rsidRPr="00987122">
              <w:rPr>
                <w:rFonts w:cstheme="minorHAnsi"/>
                <w:b/>
                <w:i/>
                <w:sz w:val="20"/>
                <w:szCs w:val="20"/>
              </w:rPr>
              <w:t>32</w:t>
            </w:r>
          </w:p>
        </w:tc>
        <w:tc>
          <w:tcPr>
            <w:tcW w:w="3134" w:type="dxa"/>
            <w:tcBorders>
              <w:top w:val="nil"/>
              <w:left w:val="single" w:sz="4" w:space="0" w:color="auto"/>
              <w:bottom w:val="single" w:sz="4" w:space="0" w:color="auto"/>
              <w:right w:val="single" w:sz="4" w:space="0" w:color="auto"/>
            </w:tcBorders>
            <w:shd w:val="clear" w:color="auto" w:fill="ABD9F8" w:themeFill="accent1" w:themeFillTint="66"/>
            <w:vAlign w:val="center"/>
          </w:tcPr>
          <w:p w:rsidR="00F66DB0" w:rsidRPr="002B4065" w:rsidRDefault="00F66DB0" w:rsidP="0005094B">
            <w:pPr>
              <w:rPr>
                <w:rFonts w:ascii="Calibri" w:hAnsi="Calibri" w:cs="Calibri"/>
                <w:color w:val="000000"/>
                <w:sz w:val="20"/>
                <w:szCs w:val="20"/>
              </w:rPr>
            </w:pPr>
            <w:r w:rsidRPr="002B4065">
              <w:rPr>
                <w:rFonts w:ascii="Calibri" w:hAnsi="Calibri" w:cs="Calibri"/>
                <w:color w:val="000000"/>
                <w:sz w:val="20"/>
                <w:szCs w:val="20"/>
              </w:rPr>
              <w:t>Facilitated and small group deliberations.</w:t>
            </w:r>
          </w:p>
        </w:tc>
        <w:tc>
          <w:tcPr>
            <w:tcW w:w="1120" w:type="dxa"/>
            <w:tcBorders>
              <w:top w:val="nil"/>
              <w:left w:val="nil"/>
              <w:bottom w:val="single" w:sz="4" w:space="0" w:color="auto"/>
              <w:right w:val="single" w:sz="4" w:space="0" w:color="auto"/>
            </w:tcBorders>
            <w:shd w:val="clear" w:color="auto" w:fill="ABD9F8" w:themeFill="accent1" w:themeFillTint="66"/>
            <w:vAlign w:val="center"/>
          </w:tcPr>
          <w:p w:rsidR="00F66DB0" w:rsidRPr="002B4065" w:rsidRDefault="00F66DB0" w:rsidP="0005094B">
            <w:pPr>
              <w:rPr>
                <w:rFonts w:ascii="Calibri" w:hAnsi="Calibri" w:cs="Calibri"/>
                <w:color w:val="000000"/>
                <w:sz w:val="20"/>
                <w:szCs w:val="20"/>
              </w:rPr>
            </w:pPr>
            <w:r w:rsidRPr="002B4065">
              <w:rPr>
                <w:rFonts w:ascii="Calibri" w:hAnsi="Calibri" w:cs="Calibri"/>
                <w:color w:val="000000"/>
                <w:sz w:val="20"/>
                <w:szCs w:val="20"/>
              </w:rPr>
              <w:t>Don't know</w:t>
            </w:r>
          </w:p>
        </w:tc>
        <w:tc>
          <w:tcPr>
            <w:tcW w:w="1616" w:type="dxa"/>
            <w:tcBorders>
              <w:top w:val="nil"/>
              <w:left w:val="nil"/>
              <w:bottom w:val="single" w:sz="4" w:space="0" w:color="auto"/>
              <w:right w:val="single" w:sz="4" w:space="0" w:color="auto"/>
            </w:tcBorders>
            <w:shd w:val="clear" w:color="auto" w:fill="ABD9F8" w:themeFill="accent1" w:themeFillTint="66"/>
            <w:vAlign w:val="center"/>
          </w:tcPr>
          <w:p w:rsidR="00F66DB0" w:rsidRPr="002B4065" w:rsidRDefault="00F66DB0" w:rsidP="0005094B">
            <w:pPr>
              <w:rPr>
                <w:rFonts w:ascii="Calibri" w:hAnsi="Calibri" w:cs="Calibri"/>
                <w:color w:val="000000"/>
                <w:sz w:val="20"/>
                <w:szCs w:val="20"/>
              </w:rPr>
            </w:pPr>
            <w:r w:rsidRPr="002B4065">
              <w:rPr>
                <w:rFonts w:ascii="Calibri" w:hAnsi="Calibri" w:cs="Calibri"/>
                <w:color w:val="000000"/>
                <w:sz w:val="20"/>
                <w:szCs w:val="20"/>
              </w:rPr>
              <w:t>knowledge experts, stakeholders, experiential publics</w:t>
            </w:r>
          </w:p>
        </w:tc>
        <w:tc>
          <w:tcPr>
            <w:tcW w:w="1308" w:type="dxa"/>
            <w:tcBorders>
              <w:top w:val="nil"/>
              <w:left w:val="nil"/>
              <w:bottom w:val="single" w:sz="4" w:space="0" w:color="auto"/>
              <w:right w:val="single" w:sz="4" w:space="0" w:color="auto"/>
            </w:tcBorders>
            <w:shd w:val="clear" w:color="auto" w:fill="ABD9F8" w:themeFill="accent1" w:themeFillTint="66"/>
            <w:vAlign w:val="center"/>
          </w:tcPr>
          <w:p w:rsidR="00F66DB0" w:rsidRPr="002B4065" w:rsidRDefault="00F66DB0" w:rsidP="0005094B">
            <w:pPr>
              <w:rPr>
                <w:rFonts w:ascii="Calibri" w:hAnsi="Calibri" w:cs="Calibri"/>
                <w:color w:val="000000"/>
                <w:sz w:val="20"/>
                <w:szCs w:val="20"/>
              </w:rPr>
            </w:pPr>
            <w:r w:rsidRPr="002B4065">
              <w:rPr>
                <w:rFonts w:ascii="Calibri" w:hAnsi="Calibri" w:cs="Calibri"/>
                <w:color w:val="000000"/>
                <w:sz w:val="20"/>
                <w:szCs w:val="20"/>
              </w:rPr>
              <w:t>Don't know</w:t>
            </w:r>
          </w:p>
        </w:tc>
        <w:tc>
          <w:tcPr>
            <w:tcW w:w="1104" w:type="dxa"/>
            <w:tcBorders>
              <w:top w:val="nil"/>
              <w:left w:val="nil"/>
              <w:bottom w:val="single" w:sz="4" w:space="0" w:color="auto"/>
              <w:right w:val="single" w:sz="4" w:space="0" w:color="auto"/>
            </w:tcBorders>
            <w:shd w:val="clear" w:color="auto" w:fill="ABD9F8" w:themeFill="accent1" w:themeFillTint="66"/>
            <w:vAlign w:val="center"/>
          </w:tcPr>
          <w:p w:rsidR="00F66DB0" w:rsidRPr="002B4065" w:rsidRDefault="00F66DB0" w:rsidP="0005094B">
            <w:pPr>
              <w:rPr>
                <w:rFonts w:ascii="Calibri" w:hAnsi="Calibri" w:cs="Calibri"/>
                <w:color w:val="000000"/>
                <w:sz w:val="20"/>
                <w:szCs w:val="20"/>
              </w:rPr>
            </w:pPr>
            <w:r w:rsidRPr="002B4065">
              <w:rPr>
                <w:rFonts w:ascii="Calibri" w:hAnsi="Calibri" w:cs="Calibri"/>
                <w:color w:val="000000"/>
                <w:sz w:val="20"/>
                <w:szCs w:val="20"/>
              </w:rPr>
              <w:t>Don't know</w:t>
            </w:r>
          </w:p>
        </w:tc>
        <w:tc>
          <w:tcPr>
            <w:tcW w:w="2350" w:type="dxa"/>
            <w:tcBorders>
              <w:top w:val="nil"/>
              <w:left w:val="nil"/>
              <w:bottom w:val="single" w:sz="4" w:space="0" w:color="auto"/>
              <w:right w:val="single" w:sz="4" w:space="0" w:color="auto"/>
            </w:tcBorders>
            <w:shd w:val="clear" w:color="auto" w:fill="ABD9F8" w:themeFill="accent1" w:themeFillTint="66"/>
            <w:vAlign w:val="center"/>
          </w:tcPr>
          <w:p w:rsidR="00F66DB0" w:rsidRPr="002B4065" w:rsidRDefault="00F66DB0" w:rsidP="0005094B">
            <w:pPr>
              <w:rPr>
                <w:rFonts w:ascii="Calibri" w:hAnsi="Calibri" w:cs="Calibri"/>
                <w:color w:val="000000"/>
                <w:sz w:val="20"/>
                <w:szCs w:val="20"/>
              </w:rPr>
            </w:pPr>
            <w:r w:rsidRPr="002B4065">
              <w:rPr>
                <w:rFonts w:ascii="Calibri" w:hAnsi="Calibri" w:cs="Calibri"/>
                <w:color w:val="000000"/>
                <w:sz w:val="20"/>
                <w:szCs w:val="20"/>
              </w:rPr>
              <w:t>Don't know</w:t>
            </w:r>
          </w:p>
        </w:tc>
      </w:tr>
      <w:tr w:rsidR="00F66DB0" w:rsidTr="0005094B">
        <w:tc>
          <w:tcPr>
            <w:tcW w:w="567" w:type="dxa"/>
            <w:vAlign w:val="center"/>
          </w:tcPr>
          <w:p w:rsidR="00F66DB0" w:rsidRPr="00987122" w:rsidRDefault="00F66DB0" w:rsidP="0005094B">
            <w:pPr>
              <w:rPr>
                <w:rFonts w:cstheme="minorHAnsi"/>
                <w:b/>
                <w:i/>
                <w:sz w:val="20"/>
                <w:szCs w:val="20"/>
              </w:rPr>
            </w:pPr>
            <w:r w:rsidRPr="00987122">
              <w:rPr>
                <w:rFonts w:cstheme="minorHAnsi"/>
                <w:b/>
                <w:i/>
                <w:sz w:val="20"/>
                <w:szCs w:val="20"/>
              </w:rPr>
              <w:t>33</w:t>
            </w:r>
          </w:p>
        </w:tc>
        <w:tc>
          <w:tcPr>
            <w:tcW w:w="3134" w:type="dxa"/>
            <w:tcBorders>
              <w:top w:val="nil"/>
              <w:left w:val="single" w:sz="4" w:space="0" w:color="auto"/>
              <w:bottom w:val="single" w:sz="4" w:space="0" w:color="auto"/>
              <w:right w:val="single" w:sz="4" w:space="0" w:color="auto"/>
            </w:tcBorders>
            <w:shd w:val="clear" w:color="auto" w:fill="auto"/>
            <w:vAlign w:val="center"/>
          </w:tcPr>
          <w:p w:rsidR="00F66DB0" w:rsidRPr="002B4065" w:rsidRDefault="00F66DB0" w:rsidP="0005094B">
            <w:pPr>
              <w:rPr>
                <w:rFonts w:ascii="Calibri" w:hAnsi="Calibri" w:cs="Calibri"/>
                <w:color w:val="000000"/>
                <w:sz w:val="20"/>
                <w:szCs w:val="20"/>
              </w:rPr>
            </w:pPr>
            <w:r w:rsidRPr="002B4065">
              <w:rPr>
                <w:rFonts w:ascii="Calibri" w:hAnsi="Calibri" w:cs="Calibri"/>
                <w:color w:val="000000"/>
                <w:sz w:val="20"/>
                <w:szCs w:val="20"/>
              </w:rPr>
              <w:t>Don't know</w:t>
            </w:r>
          </w:p>
        </w:tc>
        <w:tc>
          <w:tcPr>
            <w:tcW w:w="1120" w:type="dxa"/>
            <w:tcBorders>
              <w:top w:val="nil"/>
              <w:left w:val="nil"/>
              <w:bottom w:val="single" w:sz="4" w:space="0" w:color="auto"/>
              <w:right w:val="single" w:sz="4" w:space="0" w:color="auto"/>
            </w:tcBorders>
            <w:shd w:val="clear" w:color="auto" w:fill="auto"/>
            <w:vAlign w:val="center"/>
          </w:tcPr>
          <w:p w:rsidR="00F66DB0" w:rsidRPr="002B4065" w:rsidRDefault="00F66DB0" w:rsidP="0005094B">
            <w:pPr>
              <w:rPr>
                <w:rFonts w:ascii="Calibri" w:hAnsi="Calibri" w:cs="Calibri"/>
                <w:color w:val="000000"/>
                <w:sz w:val="20"/>
                <w:szCs w:val="20"/>
              </w:rPr>
            </w:pPr>
            <w:r w:rsidRPr="002B4065">
              <w:rPr>
                <w:rFonts w:ascii="Calibri" w:hAnsi="Calibri" w:cs="Calibri"/>
                <w:color w:val="000000"/>
                <w:sz w:val="20"/>
                <w:szCs w:val="20"/>
              </w:rPr>
              <w:t>Don't know</w:t>
            </w:r>
          </w:p>
        </w:tc>
        <w:tc>
          <w:tcPr>
            <w:tcW w:w="1616" w:type="dxa"/>
            <w:tcBorders>
              <w:top w:val="nil"/>
              <w:left w:val="nil"/>
              <w:bottom w:val="single" w:sz="4" w:space="0" w:color="auto"/>
              <w:right w:val="single" w:sz="4" w:space="0" w:color="auto"/>
            </w:tcBorders>
            <w:shd w:val="clear" w:color="auto" w:fill="auto"/>
            <w:vAlign w:val="center"/>
          </w:tcPr>
          <w:p w:rsidR="00F66DB0" w:rsidRPr="002B4065" w:rsidRDefault="00F66DB0" w:rsidP="0005094B">
            <w:pPr>
              <w:rPr>
                <w:rFonts w:ascii="Calibri" w:hAnsi="Calibri" w:cs="Calibri"/>
                <w:color w:val="000000"/>
                <w:sz w:val="20"/>
                <w:szCs w:val="20"/>
              </w:rPr>
            </w:pPr>
            <w:r w:rsidRPr="002B4065">
              <w:rPr>
                <w:rFonts w:ascii="Calibri" w:hAnsi="Calibri" w:cs="Calibri"/>
                <w:color w:val="000000"/>
                <w:sz w:val="20"/>
                <w:szCs w:val="20"/>
              </w:rPr>
              <w:t>Don't know</w:t>
            </w:r>
          </w:p>
        </w:tc>
        <w:tc>
          <w:tcPr>
            <w:tcW w:w="1308" w:type="dxa"/>
            <w:tcBorders>
              <w:top w:val="nil"/>
              <w:left w:val="nil"/>
              <w:bottom w:val="single" w:sz="4" w:space="0" w:color="auto"/>
              <w:right w:val="single" w:sz="4" w:space="0" w:color="auto"/>
            </w:tcBorders>
            <w:shd w:val="clear" w:color="auto" w:fill="auto"/>
            <w:vAlign w:val="center"/>
          </w:tcPr>
          <w:p w:rsidR="00F66DB0" w:rsidRPr="002B4065" w:rsidRDefault="00F66DB0" w:rsidP="0005094B">
            <w:pPr>
              <w:rPr>
                <w:rFonts w:ascii="Calibri" w:hAnsi="Calibri" w:cs="Calibri"/>
                <w:color w:val="000000"/>
                <w:sz w:val="20"/>
                <w:szCs w:val="20"/>
              </w:rPr>
            </w:pPr>
            <w:r w:rsidRPr="002B4065">
              <w:rPr>
                <w:rFonts w:ascii="Calibri" w:hAnsi="Calibri" w:cs="Calibri"/>
                <w:color w:val="000000"/>
                <w:sz w:val="20"/>
                <w:szCs w:val="20"/>
              </w:rPr>
              <w:t>Don't know</w:t>
            </w:r>
          </w:p>
        </w:tc>
        <w:tc>
          <w:tcPr>
            <w:tcW w:w="1104" w:type="dxa"/>
            <w:tcBorders>
              <w:top w:val="nil"/>
              <w:left w:val="nil"/>
              <w:bottom w:val="single" w:sz="4" w:space="0" w:color="auto"/>
              <w:right w:val="single" w:sz="4" w:space="0" w:color="auto"/>
            </w:tcBorders>
            <w:shd w:val="clear" w:color="auto" w:fill="auto"/>
            <w:vAlign w:val="center"/>
          </w:tcPr>
          <w:p w:rsidR="00F66DB0" w:rsidRPr="002B4065" w:rsidRDefault="00F66DB0" w:rsidP="0005094B">
            <w:pPr>
              <w:rPr>
                <w:rFonts w:ascii="Calibri" w:hAnsi="Calibri" w:cs="Calibri"/>
                <w:color w:val="000000"/>
                <w:sz w:val="20"/>
                <w:szCs w:val="20"/>
              </w:rPr>
            </w:pPr>
            <w:r w:rsidRPr="002B4065">
              <w:rPr>
                <w:rFonts w:ascii="Calibri" w:hAnsi="Calibri" w:cs="Calibri"/>
                <w:color w:val="000000"/>
                <w:sz w:val="20"/>
                <w:szCs w:val="20"/>
              </w:rPr>
              <w:t>Don't know</w:t>
            </w:r>
          </w:p>
        </w:tc>
        <w:tc>
          <w:tcPr>
            <w:tcW w:w="2350" w:type="dxa"/>
            <w:tcBorders>
              <w:top w:val="nil"/>
              <w:left w:val="nil"/>
              <w:bottom w:val="single" w:sz="4" w:space="0" w:color="auto"/>
              <w:right w:val="single" w:sz="4" w:space="0" w:color="auto"/>
            </w:tcBorders>
            <w:shd w:val="clear" w:color="auto" w:fill="auto"/>
            <w:vAlign w:val="center"/>
          </w:tcPr>
          <w:p w:rsidR="00F66DB0" w:rsidRPr="002B4065" w:rsidRDefault="00F66DB0" w:rsidP="0005094B">
            <w:pPr>
              <w:rPr>
                <w:rFonts w:ascii="Calibri" w:hAnsi="Calibri" w:cs="Calibri"/>
                <w:color w:val="000000"/>
                <w:sz w:val="20"/>
                <w:szCs w:val="20"/>
              </w:rPr>
            </w:pPr>
            <w:r w:rsidRPr="002B4065">
              <w:rPr>
                <w:rFonts w:ascii="Calibri" w:hAnsi="Calibri" w:cs="Calibri"/>
                <w:color w:val="000000"/>
                <w:sz w:val="20"/>
                <w:szCs w:val="20"/>
              </w:rPr>
              <w:t>Don't know</w:t>
            </w:r>
          </w:p>
        </w:tc>
      </w:tr>
      <w:tr w:rsidR="00F66DB0" w:rsidTr="0005094B">
        <w:tc>
          <w:tcPr>
            <w:tcW w:w="567" w:type="dxa"/>
            <w:shd w:val="clear" w:color="auto" w:fill="ABD9F8" w:themeFill="accent1" w:themeFillTint="66"/>
            <w:vAlign w:val="center"/>
          </w:tcPr>
          <w:p w:rsidR="00F66DB0" w:rsidRPr="00987122" w:rsidRDefault="00F66DB0" w:rsidP="0005094B">
            <w:pPr>
              <w:rPr>
                <w:rFonts w:cstheme="minorHAnsi"/>
                <w:b/>
                <w:i/>
                <w:sz w:val="20"/>
                <w:szCs w:val="20"/>
              </w:rPr>
            </w:pPr>
            <w:r w:rsidRPr="00987122">
              <w:rPr>
                <w:rFonts w:cstheme="minorHAnsi"/>
                <w:b/>
                <w:i/>
                <w:sz w:val="20"/>
                <w:szCs w:val="20"/>
              </w:rPr>
              <w:t>34</w:t>
            </w:r>
          </w:p>
        </w:tc>
        <w:tc>
          <w:tcPr>
            <w:tcW w:w="3134" w:type="dxa"/>
            <w:tcBorders>
              <w:top w:val="nil"/>
              <w:left w:val="single" w:sz="4" w:space="0" w:color="auto"/>
              <w:bottom w:val="single" w:sz="4" w:space="0" w:color="auto"/>
              <w:right w:val="single" w:sz="4" w:space="0" w:color="auto"/>
            </w:tcBorders>
            <w:shd w:val="clear" w:color="auto" w:fill="ABD9F8" w:themeFill="accent1" w:themeFillTint="66"/>
            <w:vAlign w:val="center"/>
          </w:tcPr>
          <w:p w:rsidR="00F66DB0" w:rsidRPr="002B4065" w:rsidRDefault="00F66DB0" w:rsidP="0005094B">
            <w:pPr>
              <w:rPr>
                <w:rFonts w:ascii="Calibri" w:hAnsi="Calibri" w:cs="Calibri"/>
                <w:color w:val="000000"/>
                <w:sz w:val="20"/>
                <w:szCs w:val="20"/>
              </w:rPr>
            </w:pPr>
            <w:r w:rsidRPr="002B4065">
              <w:rPr>
                <w:rFonts w:ascii="Calibri" w:hAnsi="Calibri" w:cs="Calibri"/>
                <w:color w:val="000000"/>
                <w:sz w:val="20"/>
                <w:szCs w:val="20"/>
              </w:rPr>
              <w:t>Presentations, small group discussions</w:t>
            </w:r>
          </w:p>
        </w:tc>
        <w:tc>
          <w:tcPr>
            <w:tcW w:w="1120" w:type="dxa"/>
            <w:tcBorders>
              <w:top w:val="nil"/>
              <w:left w:val="nil"/>
              <w:bottom w:val="single" w:sz="4" w:space="0" w:color="auto"/>
              <w:right w:val="single" w:sz="4" w:space="0" w:color="auto"/>
            </w:tcBorders>
            <w:shd w:val="clear" w:color="auto" w:fill="ABD9F8" w:themeFill="accent1" w:themeFillTint="66"/>
            <w:vAlign w:val="center"/>
          </w:tcPr>
          <w:p w:rsidR="00F66DB0" w:rsidRPr="002B4065" w:rsidRDefault="00F66DB0" w:rsidP="0005094B">
            <w:pPr>
              <w:rPr>
                <w:rFonts w:ascii="Calibri" w:hAnsi="Calibri" w:cs="Calibri"/>
                <w:color w:val="000000"/>
                <w:sz w:val="20"/>
                <w:szCs w:val="20"/>
              </w:rPr>
            </w:pPr>
            <w:r w:rsidRPr="002B4065">
              <w:rPr>
                <w:rFonts w:ascii="Calibri" w:hAnsi="Calibri" w:cs="Calibri"/>
                <w:color w:val="000000"/>
                <w:sz w:val="20"/>
                <w:szCs w:val="20"/>
              </w:rPr>
              <w:t>45</w:t>
            </w:r>
          </w:p>
        </w:tc>
        <w:tc>
          <w:tcPr>
            <w:tcW w:w="1616" w:type="dxa"/>
            <w:tcBorders>
              <w:top w:val="nil"/>
              <w:left w:val="nil"/>
              <w:bottom w:val="single" w:sz="4" w:space="0" w:color="auto"/>
              <w:right w:val="single" w:sz="4" w:space="0" w:color="auto"/>
            </w:tcBorders>
            <w:shd w:val="clear" w:color="auto" w:fill="ABD9F8" w:themeFill="accent1" w:themeFillTint="66"/>
            <w:vAlign w:val="center"/>
          </w:tcPr>
          <w:p w:rsidR="00F66DB0" w:rsidRPr="002B4065" w:rsidRDefault="00F66DB0" w:rsidP="0005094B">
            <w:pPr>
              <w:rPr>
                <w:rFonts w:ascii="Calibri" w:hAnsi="Calibri" w:cs="Calibri"/>
                <w:color w:val="000000"/>
                <w:sz w:val="20"/>
                <w:szCs w:val="20"/>
              </w:rPr>
            </w:pPr>
            <w:r w:rsidRPr="002B4065">
              <w:rPr>
                <w:rFonts w:ascii="Calibri" w:hAnsi="Calibri" w:cs="Calibri"/>
                <w:color w:val="000000"/>
                <w:sz w:val="20"/>
                <w:szCs w:val="20"/>
              </w:rPr>
              <w:t>Knowledge experts</w:t>
            </w:r>
          </w:p>
        </w:tc>
        <w:tc>
          <w:tcPr>
            <w:tcW w:w="1308" w:type="dxa"/>
            <w:tcBorders>
              <w:top w:val="nil"/>
              <w:left w:val="nil"/>
              <w:bottom w:val="single" w:sz="4" w:space="0" w:color="auto"/>
              <w:right w:val="single" w:sz="4" w:space="0" w:color="auto"/>
            </w:tcBorders>
            <w:shd w:val="clear" w:color="auto" w:fill="ABD9F8" w:themeFill="accent1" w:themeFillTint="66"/>
            <w:vAlign w:val="center"/>
          </w:tcPr>
          <w:p w:rsidR="00F66DB0" w:rsidRPr="002B4065" w:rsidRDefault="00F66DB0" w:rsidP="0005094B">
            <w:pPr>
              <w:rPr>
                <w:rFonts w:ascii="Calibri" w:hAnsi="Calibri" w:cs="Calibri"/>
                <w:color w:val="000000"/>
                <w:sz w:val="20"/>
                <w:szCs w:val="20"/>
              </w:rPr>
            </w:pPr>
            <w:r w:rsidRPr="002B4065">
              <w:rPr>
                <w:rFonts w:ascii="Calibri" w:hAnsi="Calibri" w:cs="Calibri"/>
                <w:color w:val="000000"/>
                <w:sz w:val="20"/>
                <w:szCs w:val="20"/>
              </w:rPr>
              <w:t>Don't know</w:t>
            </w:r>
          </w:p>
        </w:tc>
        <w:tc>
          <w:tcPr>
            <w:tcW w:w="1104" w:type="dxa"/>
            <w:tcBorders>
              <w:top w:val="nil"/>
              <w:left w:val="nil"/>
              <w:bottom w:val="single" w:sz="4" w:space="0" w:color="auto"/>
              <w:right w:val="single" w:sz="4" w:space="0" w:color="auto"/>
            </w:tcBorders>
            <w:shd w:val="clear" w:color="auto" w:fill="ABD9F8" w:themeFill="accent1" w:themeFillTint="66"/>
            <w:vAlign w:val="center"/>
          </w:tcPr>
          <w:p w:rsidR="00F66DB0" w:rsidRPr="002B4065" w:rsidRDefault="00F66DB0" w:rsidP="0005094B">
            <w:pPr>
              <w:rPr>
                <w:rFonts w:ascii="Calibri" w:hAnsi="Calibri" w:cs="Calibri"/>
                <w:color w:val="000000"/>
                <w:sz w:val="20"/>
                <w:szCs w:val="20"/>
              </w:rPr>
            </w:pPr>
            <w:r w:rsidRPr="002B4065">
              <w:rPr>
                <w:rFonts w:ascii="Calibri" w:hAnsi="Calibri" w:cs="Calibri"/>
                <w:color w:val="000000"/>
                <w:sz w:val="20"/>
                <w:szCs w:val="20"/>
              </w:rPr>
              <w:t>Don't know</w:t>
            </w:r>
          </w:p>
        </w:tc>
        <w:tc>
          <w:tcPr>
            <w:tcW w:w="2350" w:type="dxa"/>
            <w:tcBorders>
              <w:top w:val="nil"/>
              <w:left w:val="nil"/>
              <w:bottom w:val="single" w:sz="4" w:space="0" w:color="auto"/>
              <w:right w:val="single" w:sz="4" w:space="0" w:color="auto"/>
            </w:tcBorders>
            <w:shd w:val="clear" w:color="auto" w:fill="ABD9F8" w:themeFill="accent1" w:themeFillTint="66"/>
            <w:vAlign w:val="center"/>
          </w:tcPr>
          <w:p w:rsidR="00F66DB0" w:rsidRPr="002B4065" w:rsidRDefault="00F66DB0" w:rsidP="0005094B">
            <w:pPr>
              <w:rPr>
                <w:rFonts w:ascii="Calibri" w:hAnsi="Calibri" w:cs="Calibri"/>
                <w:color w:val="000000"/>
                <w:sz w:val="20"/>
                <w:szCs w:val="20"/>
              </w:rPr>
            </w:pPr>
            <w:r w:rsidRPr="002B4065">
              <w:rPr>
                <w:rFonts w:ascii="Calibri" w:hAnsi="Calibri" w:cs="Calibri"/>
                <w:color w:val="000000"/>
                <w:sz w:val="20"/>
                <w:szCs w:val="20"/>
              </w:rPr>
              <w:t>Verbal presentations, written representation of data in report format, discussion</w:t>
            </w:r>
          </w:p>
        </w:tc>
      </w:tr>
      <w:tr w:rsidR="00F66DB0" w:rsidTr="0005094B">
        <w:tc>
          <w:tcPr>
            <w:tcW w:w="567" w:type="dxa"/>
            <w:vAlign w:val="center"/>
          </w:tcPr>
          <w:p w:rsidR="00F66DB0" w:rsidRPr="00987122" w:rsidRDefault="00F66DB0" w:rsidP="0005094B">
            <w:pPr>
              <w:rPr>
                <w:rFonts w:cstheme="minorHAnsi"/>
                <w:b/>
                <w:i/>
                <w:sz w:val="20"/>
                <w:szCs w:val="20"/>
              </w:rPr>
            </w:pPr>
            <w:r w:rsidRPr="00987122">
              <w:rPr>
                <w:rFonts w:cstheme="minorHAnsi"/>
                <w:b/>
                <w:i/>
                <w:sz w:val="20"/>
                <w:szCs w:val="20"/>
              </w:rPr>
              <w:t>35</w:t>
            </w:r>
          </w:p>
        </w:tc>
        <w:tc>
          <w:tcPr>
            <w:tcW w:w="3134" w:type="dxa"/>
            <w:tcBorders>
              <w:top w:val="nil"/>
              <w:left w:val="single" w:sz="4" w:space="0" w:color="auto"/>
              <w:bottom w:val="single" w:sz="4" w:space="0" w:color="auto"/>
              <w:right w:val="single" w:sz="4" w:space="0" w:color="auto"/>
            </w:tcBorders>
            <w:shd w:val="clear" w:color="auto" w:fill="auto"/>
            <w:vAlign w:val="center"/>
          </w:tcPr>
          <w:p w:rsidR="00F66DB0" w:rsidRPr="002B4065" w:rsidRDefault="00F66DB0" w:rsidP="0005094B">
            <w:pPr>
              <w:rPr>
                <w:rFonts w:ascii="Calibri" w:hAnsi="Calibri" w:cs="Calibri"/>
                <w:color w:val="000000"/>
                <w:sz w:val="20"/>
                <w:szCs w:val="20"/>
              </w:rPr>
            </w:pPr>
            <w:r w:rsidRPr="002B4065">
              <w:rPr>
                <w:rFonts w:ascii="Calibri" w:hAnsi="Calibri" w:cs="Calibri"/>
                <w:color w:val="000000"/>
                <w:sz w:val="20"/>
                <w:szCs w:val="20"/>
              </w:rPr>
              <w:t>Presentations and discussion</w:t>
            </w:r>
          </w:p>
        </w:tc>
        <w:tc>
          <w:tcPr>
            <w:tcW w:w="1120" w:type="dxa"/>
            <w:tcBorders>
              <w:top w:val="nil"/>
              <w:left w:val="nil"/>
              <w:bottom w:val="single" w:sz="4" w:space="0" w:color="auto"/>
              <w:right w:val="single" w:sz="4" w:space="0" w:color="auto"/>
            </w:tcBorders>
            <w:shd w:val="clear" w:color="auto" w:fill="auto"/>
            <w:vAlign w:val="center"/>
          </w:tcPr>
          <w:p w:rsidR="00F66DB0" w:rsidRPr="002B4065" w:rsidRDefault="00F66DB0" w:rsidP="0005094B">
            <w:pPr>
              <w:rPr>
                <w:rFonts w:ascii="Calibri" w:hAnsi="Calibri" w:cs="Calibri"/>
                <w:color w:val="000000"/>
                <w:sz w:val="20"/>
                <w:szCs w:val="20"/>
              </w:rPr>
            </w:pPr>
            <w:r w:rsidRPr="002B4065">
              <w:rPr>
                <w:rFonts w:ascii="Calibri" w:hAnsi="Calibri" w:cs="Calibri"/>
                <w:color w:val="000000"/>
                <w:sz w:val="20"/>
                <w:szCs w:val="20"/>
              </w:rPr>
              <w:t>7</w:t>
            </w:r>
          </w:p>
        </w:tc>
        <w:tc>
          <w:tcPr>
            <w:tcW w:w="1616" w:type="dxa"/>
            <w:tcBorders>
              <w:top w:val="nil"/>
              <w:left w:val="nil"/>
              <w:bottom w:val="single" w:sz="4" w:space="0" w:color="auto"/>
              <w:right w:val="single" w:sz="4" w:space="0" w:color="auto"/>
            </w:tcBorders>
            <w:shd w:val="clear" w:color="auto" w:fill="auto"/>
            <w:vAlign w:val="center"/>
          </w:tcPr>
          <w:p w:rsidR="00F66DB0" w:rsidRPr="002B4065" w:rsidRDefault="00F66DB0" w:rsidP="0005094B">
            <w:pPr>
              <w:rPr>
                <w:rFonts w:ascii="Calibri" w:hAnsi="Calibri" w:cs="Calibri"/>
                <w:color w:val="000000"/>
                <w:sz w:val="20"/>
                <w:szCs w:val="20"/>
              </w:rPr>
            </w:pPr>
            <w:r w:rsidRPr="002B4065">
              <w:rPr>
                <w:rFonts w:ascii="Calibri" w:hAnsi="Calibri" w:cs="Calibri"/>
                <w:color w:val="000000"/>
                <w:sz w:val="20"/>
                <w:szCs w:val="20"/>
              </w:rPr>
              <w:t>Knowledge experts</w:t>
            </w:r>
          </w:p>
        </w:tc>
        <w:tc>
          <w:tcPr>
            <w:tcW w:w="1308" w:type="dxa"/>
            <w:tcBorders>
              <w:top w:val="nil"/>
              <w:left w:val="nil"/>
              <w:bottom w:val="single" w:sz="4" w:space="0" w:color="auto"/>
              <w:right w:val="single" w:sz="4" w:space="0" w:color="auto"/>
            </w:tcBorders>
            <w:shd w:val="clear" w:color="auto" w:fill="auto"/>
            <w:vAlign w:val="center"/>
          </w:tcPr>
          <w:p w:rsidR="00F66DB0" w:rsidRPr="002B4065" w:rsidRDefault="00F66DB0" w:rsidP="0005094B">
            <w:pPr>
              <w:rPr>
                <w:rFonts w:ascii="Calibri" w:hAnsi="Calibri" w:cs="Calibri"/>
                <w:color w:val="000000"/>
                <w:sz w:val="20"/>
                <w:szCs w:val="20"/>
              </w:rPr>
            </w:pPr>
            <w:r w:rsidRPr="002B4065">
              <w:rPr>
                <w:rFonts w:ascii="Calibri" w:hAnsi="Calibri" w:cs="Calibri"/>
                <w:color w:val="000000"/>
                <w:sz w:val="20"/>
                <w:szCs w:val="20"/>
              </w:rPr>
              <w:t>Don't know</w:t>
            </w:r>
          </w:p>
        </w:tc>
        <w:tc>
          <w:tcPr>
            <w:tcW w:w="1104" w:type="dxa"/>
            <w:tcBorders>
              <w:top w:val="nil"/>
              <w:left w:val="nil"/>
              <w:bottom w:val="single" w:sz="4" w:space="0" w:color="auto"/>
              <w:right w:val="single" w:sz="4" w:space="0" w:color="auto"/>
            </w:tcBorders>
            <w:shd w:val="clear" w:color="auto" w:fill="auto"/>
            <w:vAlign w:val="center"/>
          </w:tcPr>
          <w:p w:rsidR="00F66DB0" w:rsidRPr="002B4065" w:rsidRDefault="00F66DB0" w:rsidP="0005094B">
            <w:pPr>
              <w:rPr>
                <w:rFonts w:ascii="Calibri" w:hAnsi="Calibri" w:cs="Calibri"/>
                <w:color w:val="000000"/>
                <w:sz w:val="20"/>
                <w:szCs w:val="20"/>
              </w:rPr>
            </w:pPr>
            <w:r w:rsidRPr="002B4065">
              <w:rPr>
                <w:rFonts w:ascii="Calibri" w:hAnsi="Calibri" w:cs="Calibri"/>
                <w:color w:val="000000"/>
                <w:sz w:val="20"/>
                <w:szCs w:val="20"/>
              </w:rPr>
              <w:t>Don't know</w:t>
            </w:r>
          </w:p>
        </w:tc>
        <w:tc>
          <w:tcPr>
            <w:tcW w:w="2350" w:type="dxa"/>
            <w:tcBorders>
              <w:top w:val="nil"/>
              <w:left w:val="nil"/>
              <w:bottom w:val="single" w:sz="4" w:space="0" w:color="auto"/>
              <w:right w:val="single" w:sz="4" w:space="0" w:color="auto"/>
            </w:tcBorders>
            <w:shd w:val="clear" w:color="auto" w:fill="auto"/>
            <w:vAlign w:val="center"/>
          </w:tcPr>
          <w:p w:rsidR="00F66DB0" w:rsidRPr="002B4065" w:rsidRDefault="00F66DB0" w:rsidP="0005094B">
            <w:pPr>
              <w:rPr>
                <w:rFonts w:ascii="Calibri" w:hAnsi="Calibri" w:cs="Calibri"/>
                <w:color w:val="000000"/>
                <w:sz w:val="20"/>
                <w:szCs w:val="20"/>
              </w:rPr>
            </w:pPr>
            <w:r w:rsidRPr="002B4065">
              <w:rPr>
                <w:rFonts w:ascii="Calibri" w:hAnsi="Calibri" w:cs="Calibri"/>
                <w:color w:val="000000"/>
                <w:sz w:val="20"/>
                <w:szCs w:val="20"/>
              </w:rPr>
              <w:t>Verbal presentations and written reports</w:t>
            </w:r>
          </w:p>
        </w:tc>
      </w:tr>
      <w:tr w:rsidR="00F66DB0" w:rsidTr="0005094B">
        <w:tc>
          <w:tcPr>
            <w:tcW w:w="567" w:type="dxa"/>
            <w:shd w:val="clear" w:color="auto" w:fill="ABD9F8" w:themeFill="accent1" w:themeFillTint="66"/>
            <w:vAlign w:val="center"/>
          </w:tcPr>
          <w:p w:rsidR="00F66DB0" w:rsidRPr="00987122" w:rsidRDefault="00F66DB0" w:rsidP="0005094B">
            <w:pPr>
              <w:rPr>
                <w:rFonts w:cstheme="minorHAnsi"/>
                <w:b/>
                <w:i/>
                <w:sz w:val="20"/>
                <w:szCs w:val="20"/>
              </w:rPr>
            </w:pPr>
            <w:r w:rsidRPr="00987122">
              <w:rPr>
                <w:rFonts w:cstheme="minorHAnsi"/>
                <w:b/>
                <w:i/>
                <w:sz w:val="20"/>
                <w:szCs w:val="20"/>
              </w:rPr>
              <w:t>36</w:t>
            </w:r>
          </w:p>
        </w:tc>
        <w:tc>
          <w:tcPr>
            <w:tcW w:w="3134" w:type="dxa"/>
            <w:tcBorders>
              <w:top w:val="nil"/>
              <w:left w:val="single" w:sz="4" w:space="0" w:color="auto"/>
              <w:bottom w:val="single" w:sz="4" w:space="0" w:color="auto"/>
              <w:right w:val="single" w:sz="4" w:space="0" w:color="auto"/>
            </w:tcBorders>
            <w:shd w:val="clear" w:color="auto" w:fill="ABD9F8" w:themeFill="accent1" w:themeFillTint="66"/>
            <w:vAlign w:val="center"/>
          </w:tcPr>
          <w:p w:rsidR="00F66DB0" w:rsidRPr="002B4065" w:rsidRDefault="00F66DB0" w:rsidP="0005094B">
            <w:pPr>
              <w:rPr>
                <w:rFonts w:ascii="Calibri" w:hAnsi="Calibri" w:cs="Calibri"/>
                <w:color w:val="000000"/>
                <w:sz w:val="20"/>
                <w:szCs w:val="20"/>
              </w:rPr>
            </w:pPr>
            <w:r w:rsidRPr="002B4065">
              <w:rPr>
                <w:rFonts w:ascii="Calibri" w:hAnsi="Calibri" w:cs="Calibri"/>
                <w:color w:val="000000"/>
                <w:sz w:val="20"/>
                <w:szCs w:val="20"/>
              </w:rPr>
              <w:t>2-day open format, a 1-day closed expert panel meeting and two additional half day meetings to develop the Concussion Recognition Tool 5 (Pocket CRT5), Sport Concussion Assessment Tool 5 (SCAT5) and Child SCAT5</w:t>
            </w:r>
          </w:p>
        </w:tc>
        <w:tc>
          <w:tcPr>
            <w:tcW w:w="1120" w:type="dxa"/>
            <w:tcBorders>
              <w:top w:val="nil"/>
              <w:left w:val="nil"/>
              <w:bottom w:val="single" w:sz="4" w:space="0" w:color="auto"/>
              <w:right w:val="single" w:sz="4" w:space="0" w:color="auto"/>
            </w:tcBorders>
            <w:shd w:val="clear" w:color="auto" w:fill="ABD9F8" w:themeFill="accent1" w:themeFillTint="66"/>
            <w:vAlign w:val="center"/>
          </w:tcPr>
          <w:p w:rsidR="00F66DB0" w:rsidRPr="002B4065" w:rsidRDefault="00F66DB0" w:rsidP="0005094B">
            <w:pPr>
              <w:rPr>
                <w:rFonts w:ascii="Calibri" w:hAnsi="Calibri" w:cs="Calibri"/>
                <w:color w:val="000000"/>
                <w:sz w:val="20"/>
                <w:szCs w:val="20"/>
              </w:rPr>
            </w:pPr>
            <w:r w:rsidRPr="002B4065">
              <w:rPr>
                <w:rFonts w:ascii="Calibri" w:hAnsi="Calibri" w:cs="Calibri"/>
                <w:color w:val="000000"/>
                <w:sz w:val="20"/>
                <w:szCs w:val="20"/>
              </w:rPr>
              <w:t>33</w:t>
            </w:r>
          </w:p>
        </w:tc>
        <w:tc>
          <w:tcPr>
            <w:tcW w:w="1616" w:type="dxa"/>
            <w:tcBorders>
              <w:top w:val="nil"/>
              <w:left w:val="nil"/>
              <w:bottom w:val="single" w:sz="4" w:space="0" w:color="auto"/>
              <w:right w:val="single" w:sz="4" w:space="0" w:color="auto"/>
            </w:tcBorders>
            <w:shd w:val="clear" w:color="auto" w:fill="ABD9F8" w:themeFill="accent1" w:themeFillTint="66"/>
            <w:vAlign w:val="center"/>
          </w:tcPr>
          <w:p w:rsidR="00F66DB0" w:rsidRPr="002B4065" w:rsidRDefault="00F66DB0" w:rsidP="0005094B">
            <w:pPr>
              <w:rPr>
                <w:rFonts w:ascii="Calibri" w:hAnsi="Calibri" w:cs="Calibri"/>
                <w:color w:val="000000"/>
                <w:sz w:val="20"/>
                <w:szCs w:val="20"/>
              </w:rPr>
            </w:pPr>
            <w:r w:rsidRPr="002B4065">
              <w:rPr>
                <w:rFonts w:ascii="Calibri" w:hAnsi="Calibri" w:cs="Calibri"/>
                <w:color w:val="000000"/>
                <w:sz w:val="20"/>
                <w:szCs w:val="20"/>
              </w:rPr>
              <w:t>Sports medicine academics and professionals</w:t>
            </w:r>
          </w:p>
        </w:tc>
        <w:tc>
          <w:tcPr>
            <w:tcW w:w="1308" w:type="dxa"/>
            <w:tcBorders>
              <w:top w:val="nil"/>
              <w:left w:val="nil"/>
              <w:bottom w:val="single" w:sz="4" w:space="0" w:color="auto"/>
              <w:right w:val="single" w:sz="4" w:space="0" w:color="auto"/>
            </w:tcBorders>
            <w:shd w:val="clear" w:color="auto" w:fill="ABD9F8" w:themeFill="accent1" w:themeFillTint="66"/>
            <w:vAlign w:val="center"/>
          </w:tcPr>
          <w:p w:rsidR="00F66DB0" w:rsidRPr="002B4065" w:rsidRDefault="00F66DB0" w:rsidP="0005094B">
            <w:pPr>
              <w:rPr>
                <w:rFonts w:ascii="Calibri" w:hAnsi="Calibri" w:cs="Calibri"/>
                <w:color w:val="000000"/>
                <w:sz w:val="20"/>
                <w:szCs w:val="20"/>
              </w:rPr>
            </w:pPr>
            <w:r w:rsidRPr="002B4065">
              <w:rPr>
                <w:rFonts w:ascii="Calibri" w:hAnsi="Calibri" w:cs="Calibri"/>
                <w:color w:val="000000"/>
                <w:sz w:val="20"/>
                <w:szCs w:val="20"/>
              </w:rPr>
              <w:t>Mini-public organisers</w:t>
            </w:r>
          </w:p>
        </w:tc>
        <w:tc>
          <w:tcPr>
            <w:tcW w:w="1104" w:type="dxa"/>
            <w:tcBorders>
              <w:top w:val="nil"/>
              <w:left w:val="nil"/>
              <w:bottom w:val="single" w:sz="4" w:space="0" w:color="auto"/>
              <w:right w:val="single" w:sz="4" w:space="0" w:color="auto"/>
            </w:tcBorders>
            <w:shd w:val="clear" w:color="auto" w:fill="ABD9F8" w:themeFill="accent1" w:themeFillTint="66"/>
            <w:vAlign w:val="center"/>
          </w:tcPr>
          <w:p w:rsidR="00F66DB0" w:rsidRPr="002B4065" w:rsidRDefault="00F66DB0" w:rsidP="0005094B">
            <w:pPr>
              <w:rPr>
                <w:rFonts w:ascii="Calibri" w:hAnsi="Calibri" w:cs="Calibri"/>
                <w:color w:val="000000"/>
                <w:sz w:val="20"/>
                <w:szCs w:val="20"/>
              </w:rPr>
            </w:pPr>
            <w:r w:rsidRPr="002B4065">
              <w:rPr>
                <w:rFonts w:ascii="Calibri" w:hAnsi="Calibri" w:cs="Calibri"/>
                <w:color w:val="000000"/>
                <w:sz w:val="20"/>
                <w:szCs w:val="20"/>
              </w:rPr>
              <w:t>12</w:t>
            </w:r>
          </w:p>
        </w:tc>
        <w:tc>
          <w:tcPr>
            <w:tcW w:w="2350" w:type="dxa"/>
            <w:tcBorders>
              <w:top w:val="nil"/>
              <w:left w:val="nil"/>
              <w:bottom w:val="single" w:sz="4" w:space="0" w:color="auto"/>
              <w:right w:val="single" w:sz="4" w:space="0" w:color="auto"/>
            </w:tcBorders>
            <w:shd w:val="clear" w:color="auto" w:fill="ABD9F8" w:themeFill="accent1" w:themeFillTint="66"/>
            <w:vAlign w:val="center"/>
          </w:tcPr>
          <w:p w:rsidR="00F66DB0" w:rsidRPr="002B4065" w:rsidRDefault="00F66DB0" w:rsidP="0005094B">
            <w:pPr>
              <w:rPr>
                <w:rFonts w:ascii="Calibri" w:hAnsi="Calibri" w:cs="Calibri"/>
                <w:color w:val="000000"/>
                <w:sz w:val="20"/>
                <w:szCs w:val="20"/>
              </w:rPr>
            </w:pPr>
            <w:r w:rsidRPr="002B4065">
              <w:rPr>
                <w:rFonts w:ascii="Calibri" w:hAnsi="Calibri" w:cs="Calibri"/>
                <w:color w:val="000000"/>
                <w:sz w:val="20"/>
                <w:szCs w:val="20"/>
              </w:rPr>
              <w:t xml:space="preserve">Plenary and small group discussions </w:t>
            </w:r>
          </w:p>
        </w:tc>
      </w:tr>
      <w:tr w:rsidR="00F66DB0" w:rsidTr="0005094B">
        <w:tc>
          <w:tcPr>
            <w:tcW w:w="567" w:type="dxa"/>
            <w:vAlign w:val="center"/>
          </w:tcPr>
          <w:p w:rsidR="00F66DB0" w:rsidRPr="00987122" w:rsidRDefault="00F66DB0" w:rsidP="0005094B">
            <w:pPr>
              <w:rPr>
                <w:rFonts w:cstheme="minorHAnsi"/>
                <w:b/>
                <w:i/>
                <w:sz w:val="20"/>
                <w:szCs w:val="20"/>
              </w:rPr>
            </w:pPr>
            <w:r w:rsidRPr="00987122">
              <w:rPr>
                <w:rFonts w:cstheme="minorHAnsi"/>
                <w:b/>
                <w:i/>
                <w:sz w:val="20"/>
                <w:szCs w:val="20"/>
              </w:rPr>
              <w:t>37</w:t>
            </w:r>
          </w:p>
        </w:tc>
        <w:tc>
          <w:tcPr>
            <w:tcW w:w="3134" w:type="dxa"/>
            <w:tcBorders>
              <w:top w:val="single" w:sz="4" w:space="0" w:color="auto"/>
              <w:left w:val="single" w:sz="4" w:space="0" w:color="auto"/>
              <w:bottom w:val="single" w:sz="4" w:space="0" w:color="auto"/>
              <w:right w:val="single" w:sz="4" w:space="0" w:color="auto"/>
            </w:tcBorders>
            <w:shd w:val="clear" w:color="auto" w:fill="auto"/>
            <w:vAlign w:val="center"/>
          </w:tcPr>
          <w:p w:rsidR="00F66DB0" w:rsidRPr="002B4065" w:rsidRDefault="00F66DB0" w:rsidP="0005094B">
            <w:pPr>
              <w:rPr>
                <w:rFonts w:cstheme="minorHAnsi"/>
                <w:color w:val="000000"/>
                <w:sz w:val="20"/>
                <w:szCs w:val="20"/>
              </w:rPr>
            </w:pPr>
            <w:r w:rsidRPr="002B4065">
              <w:rPr>
                <w:rFonts w:cstheme="minorHAnsi"/>
                <w:color w:val="000000"/>
                <w:sz w:val="20"/>
                <w:szCs w:val="20"/>
              </w:rPr>
              <w:t>Presentation by expert witnesses</w:t>
            </w:r>
          </w:p>
        </w:tc>
        <w:tc>
          <w:tcPr>
            <w:tcW w:w="1120" w:type="dxa"/>
            <w:tcBorders>
              <w:top w:val="single" w:sz="4" w:space="0" w:color="auto"/>
              <w:left w:val="nil"/>
              <w:bottom w:val="single" w:sz="4" w:space="0" w:color="auto"/>
              <w:right w:val="single" w:sz="4" w:space="0" w:color="auto"/>
            </w:tcBorders>
            <w:shd w:val="clear" w:color="auto" w:fill="auto"/>
            <w:vAlign w:val="center"/>
          </w:tcPr>
          <w:p w:rsidR="00F66DB0" w:rsidRPr="002B4065" w:rsidRDefault="00F66DB0" w:rsidP="0005094B">
            <w:pPr>
              <w:rPr>
                <w:rFonts w:cstheme="minorHAnsi"/>
                <w:color w:val="000000"/>
                <w:sz w:val="20"/>
                <w:szCs w:val="20"/>
              </w:rPr>
            </w:pPr>
            <w:r w:rsidRPr="002B4065">
              <w:rPr>
                <w:rFonts w:cstheme="minorHAnsi"/>
                <w:color w:val="000000"/>
                <w:sz w:val="20"/>
                <w:szCs w:val="20"/>
              </w:rPr>
              <w:t>Don't know</w:t>
            </w:r>
          </w:p>
        </w:tc>
        <w:tc>
          <w:tcPr>
            <w:tcW w:w="1616" w:type="dxa"/>
            <w:tcBorders>
              <w:top w:val="single" w:sz="4" w:space="0" w:color="auto"/>
              <w:left w:val="nil"/>
              <w:bottom w:val="single" w:sz="4" w:space="0" w:color="auto"/>
              <w:right w:val="single" w:sz="4" w:space="0" w:color="auto"/>
            </w:tcBorders>
            <w:shd w:val="clear" w:color="auto" w:fill="auto"/>
            <w:vAlign w:val="center"/>
          </w:tcPr>
          <w:p w:rsidR="00F66DB0" w:rsidRPr="002B4065" w:rsidRDefault="00F66DB0" w:rsidP="0005094B">
            <w:pPr>
              <w:rPr>
                <w:rFonts w:cstheme="minorHAnsi"/>
                <w:color w:val="000000"/>
                <w:sz w:val="20"/>
                <w:szCs w:val="20"/>
              </w:rPr>
            </w:pPr>
            <w:r w:rsidRPr="002B4065">
              <w:rPr>
                <w:rFonts w:cstheme="minorHAnsi"/>
                <w:color w:val="000000"/>
                <w:sz w:val="20"/>
                <w:szCs w:val="20"/>
              </w:rPr>
              <w:t>Don't know</w:t>
            </w:r>
          </w:p>
        </w:tc>
        <w:tc>
          <w:tcPr>
            <w:tcW w:w="1308" w:type="dxa"/>
            <w:tcBorders>
              <w:top w:val="single" w:sz="4" w:space="0" w:color="auto"/>
              <w:left w:val="nil"/>
              <w:bottom w:val="single" w:sz="4" w:space="0" w:color="auto"/>
              <w:right w:val="single" w:sz="4" w:space="0" w:color="auto"/>
            </w:tcBorders>
            <w:shd w:val="clear" w:color="auto" w:fill="auto"/>
            <w:vAlign w:val="center"/>
          </w:tcPr>
          <w:p w:rsidR="00F66DB0" w:rsidRPr="002B4065" w:rsidRDefault="00F66DB0" w:rsidP="0005094B">
            <w:pPr>
              <w:rPr>
                <w:rFonts w:cstheme="minorHAnsi"/>
                <w:color w:val="000000"/>
                <w:sz w:val="20"/>
                <w:szCs w:val="20"/>
              </w:rPr>
            </w:pPr>
            <w:r w:rsidRPr="002B4065">
              <w:rPr>
                <w:rFonts w:cstheme="minorHAnsi"/>
                <w:color w:val="000000"/>
                <w:sz w:val="20"/>
                <w:szCs w:val="20"/>
              </w:rPr>
              <w:t>Chosen by jury</w:t>
            </w:r>
          </w:p>
        </w:tc>
        <w:tc>
          <w:tcPr>
            <w:tcW w:w="1104" w:type="dxa"/>
            <w:tcBorders>
              <w:top w:val="single" w:sz="4" w:space="0" w:color="auto"/>
              <w:left w:val="nil"/>
              <w:bottom w:val="single" w:sz="4" w:space="0" w:color="auto"/>
              <w:right w:val="single" w:sz="4" w:space="0" w:color="auto"/>
            </w:tcBorders>
            <w:shd w:val="clear" w:color="auto" w:fill="auto"/>
            <w:vAlign w:val="center"/>
          </w:tcPr>
          <w:p w:rsidR="00F66DB0" w:rsidRPr="002B4065" w:rsidRDefault="00F66DB0" w:rsidP="0005094B">
            <w:pPr>
              <w:rPr>
                <w:rFonts w:cstheme="minorHAnsi"/>
                <w:color w:val="000000"/>
                <w:sz w:val="20"/>
                <w:szCs w:val="20"/>
              </w:rPr>
            </w:pPr>
            <w:r w:rsidRPr="002B4065">
              <w:rPr>
                <w:rFonts w:cstheme="minorHAnsi"/>
                <w:color w:val="000000"/>
                <w:sz w:val="20"/>
                <w:szCs w:val="20"/>
              </w:rPr>
              <w:t>Don't know</w:t>
            </w:r>
          </w:p>
        </w:tc>
        <w:tc>
          <w:tcPr>
            <w:tcW w:w="2350" w:type="dxa"/>
            <w:tcBorders>
              <w:top w:val="single" w:sz="4" w:space="0" w:color="auto"/>
              <w:left w:val="nil"/>
              <w:bottom w:val="single" w:sz="4" w:space="0" w:color="auto"/>
              <w:right w:val="single" w:sz="4" w:space="0" w:color="auto"/>
            </w:tcBorders>
            <w:shd w:val="clear" w:color="auto" w:fill="auto"/>
            <w:vAlign w:val="center"/>
          </w:tcPr>
          <w:p w:rsidR="00F66DB0" w:rsidRPr="002B4065" w:rsidRDefault="00F66DB0" w:rsidP="0005094B">
            <w:pPr>
              <w:rPr>
                <w:rFonts w:cstheme="minorHAnsi"/>
                <w:color w:val="000000"/>
                <w:sz w:val="20"/>
                <w:szCs w:val="20"/>
              </w:rPr>
            </w:pPr>
            <w:r w:rsidRPr="002B4065">
              <w:rPr>
                <w:rFonts w:cstheme="minorHAnsi"/>
                <w:color w:val="000000"/>
                <w:sz w:val="20"/>
                <w:szCs w:val="20"/>
              </w:rPr>
              <w:t>Q&amp;A</w:t>
            </w:r>
          </w:p>
        </w:tc>
      </w:tr>
    </w:tbl>
    <w:p w:rsidR="00F66DB0" w:rsidRPr="00A400D3" w:rsidRDefault="00F66DB0" w:rsidP="00A400D3">
      <w:pPr>
        <w:rPr>
          <w:i/>
          <w:sz w:val="24"/>
          <w:szCs w:val="24"/>
          <w:lang w:val="it-IT"/>
        </w:rPr>
      </w:pPr>
    </w:p>
    <w:p w:rsidR="00A400D3" w:rsidRPr="00C95AFC" w:rsidRDefault="00A400D3" w:rsidP="00A400D3">
      <w:pPr>
        <w:numPr>
          <w:ilvl w:val="0"/>
          <w:numId w:val="13"/>
        </w:numPr>
        <w:rPr>
          <w:b/>
          <w:i/>
          <w:color w:val="0B5484" w:themeColor="accent1" w:themeShade="80"/>
          <w:sz w:val="24"/>
          <w:szCs w:val="24"/>
          <w:lang w:val="it-IT"/>
        </w:rPr>
      </w:pPr>
      <w:r w:rsidRPr="00C95AFC">
        <w:rPr>
          <w:b/>
          <w:i/>
          <w:color w:val="0B5484" w:themeColor="accent1" w:themeShade="80"/>
          <w:sz w:val="24"/>
          <w:szCs w:val="24"/>
        </w:rPr>
        <w:t xml:space="preserve">Are there any trends across the cases in each country that suggest some </w:t>
      </w:r>
      <w:r w:rsidRPr="00C95AFC">
        <w:rPr>
          <w:b/>
          <w:i/>
          <w:color w:val="0B5484" w:themeColor="accent1" w:themeShade="80"/>
          <w:sz w:val="24"/>
          <w:szCs w:val="24"/>
          <w:lang w:val="it-IT"/>
        </w:rPr>
        <w:t>types of expert, methods of expert recruitment, and the methods of presentation of evidence influences the liklihood a mini-public will influence policy and practice?</w:t>
      </w:r>
    </w:p>
    <w:p w:rsidR="00A400D3" w:rsidRPr="00A400D3" w:rsidRDefault="00A400D3" w:rsidP="00A400D3">
      <w:pPr>
        <w:rPr>
          <w:sz w:val="24"/>
          <w:szCs w:val="24"/>
          <w:lang w:val="it-IT"/>
        </w:rPr>
      </w:pPr>
      <w:r w:rsidRPr="00A400D3">
        <w:rPr>
          <w:sz w:val="24"/>
          <w:szCs w:val="24"/>
          <w:lang w:val="it-IT"/>
        </w:rPr>
        <w:t>It is not clear</w:t>
      </w:r>
      <w:r w:rsidR="00DE35AF">
        <w:rPr>
          <w:sz w:val="24"/>
          <w:szCs w:val="24"/>
          <w:lang w:val="it-IT"/>
        </w:rPr>
        <w:t xml:space="preserve"> from the research on mini-</w:t>
      </w:r>
      <w:r w:rsidRPr="00A400D3">
        <w:rPr>
          <w:sz w:val="24"/>
          <w:szCs w:val="24"/>
          <w:lang w:val="it-IT"/>
        </w:rPr>
        <w:t>publics in Germany</w:t>
      </w:r>
      <w:r w:rsidR="00F66DB0">
        <w:rPr>
          <w:sz w:val="24"/>
          <w:szCs w:val="24"/>
          <w:lang w:val="it-IT"/>
        </w:rPr>
        <w:t xml:space="preserve"> and the Netherlands</w:t>
      </w:r>
      <w:r w:rsidRPr="00A400D3">
        <w:rPr>
          <w:sz w:val="24"/>
          <w:szCs w:val="24"/>
          <w:lang w:val="it-IT"/>
        </w:rPr>
        <w:t xml:space="preserve"> as to how the types of expert, methods of expert recruitment, and the methods of presentatin of evidence influences policy and practice. The one insight that can be gleaned from across the examples is that the mini</w:t>
      </w:r>
      <w:r w:rsidR="00893415">
        <w:rPr>
          <w:sz w:val="24"/>
          <w:szCs w:val="24"/>
          <w:lang w:val="it-IT"/>
        </w:rPr>
        <w:t>-</w:t>
      </w:r>
      <w:r w:rsidRPr="00A400D3">
        <w:rPr>
          <w:sz w:val="24"/>
          <w:szCs w:val="24"/>
          <w:lang w:val="it-IT"/>
        </w:rPr>
        <w:t xml:space="preserve">publics were often attended by practitioners and professionals, rather than ‘lay’ citizens, which may explain why the influences often focus on policy statements and academic outputs. </w:t>
      </w:r>
    </w:p>
    <w:p w:rsidR="0088377E" w:rsidRDefault="0088377E" w:rsidP="0088377E">
      <w:pPr>
        <w:jc w:val="both"/>
        <w:rPr>
          <w:b/>
          <w:color w:val="0B5484" w:themeColor="accent1" w:themeShade="80"/>
          <w:sz w:val="24"/>
          <w:szCs w:val="24"/>
        </w:rPr>
      </w:pPr>
      <w:r w:rsidRPr="00C82A8C">
        <w:rPr>
          <w:b/>
          <w:bCs/>
          <w:color w:val="0B5484" w:themeColor="accent1" w:themeShade="80"/>
          <w:sz w:val="24"/>
          <w:szCs w:val="24"/>
        </w:rPr>
        <w:lastRenderedPageBreak/>
        <w:t xml:space="preserve">Table </w:t>
      </w:r>
      <w:r>
        <w:rPr>
          <w:b/>
          <w:bCs/>
          <w:color w:val="0B5484" w:themeColor="accent1" w:themeShade="80"/>
          <w:sz w:val="24"/>
          <w:szCs w:val="24"/>
        </w:rPr>
        <w:t>14:</w:t>
      </w:r>
      <w:r w:rsidRPr="00C82A8C">
        <w:rPr>
          <w:b/>
          <w:bCs/>
          <w:color w:val="0B5484" w:themeColor="accent1" w:themeShade="80"/>
          <w:sz w:val="24"/>
          <w:szCs w:val="24"/>
        </w:rPr>
        <w:t xml:space="preserve"> </w:t>
      </w:r>
      <w:r>
        <w:rPr>
          <w:b/>
          <w:color w:val="0B5484" w:themeColor="accent1" w:themeShade="80"/>
          <w:sz w:val="24"/>
          <w:szCs w:val="24"/>
        </w:rPr>
        <w:t>Germany</w:t>
      </w:r>
      <w:r w:rsidRPr="00C82A8C">
        <w:rPr>
          <w:b/>
          <w:color w:val="0B5484" w:themeColor="accent1" w:themeShade="80"/>
          <w:sz w:val="24"/>
          <w:szCs w:val="24"/>
        </w:rPr>
        <w:t xml:space="preserve"> and </w:t>
      </w:r>
      <w:r>
        <w:rPr>
          <w:b/>
          <w:color w:val="0B5484" w:themeColor="accent1" w:themeShade="80"/>
          <w:sz w:val="24"/>
          <w:szCs w:val="24"/>
        </w:rPr>
        <w:t xml:space="preserve">The Netherlands: </w:t>
      </w:r>
      <w:r>
        <w:rPr>
          <w:b/>
          <w:bCs/>
          <w:color w:val="0B5484" w:themeColor="accent1" w:themeShade="80"/>
          <w:sz w:val="24"/>
          <w:szCs w:val="24"/>
        </w:rPr>
        <w:t>Impact in</w:t>
      </w:r>
      <w:r w:rsidRPr="00C82A8C">
        <w:rPr>
          <w:b/>
          <w:bCs/>
          <w:color w:val="0B5484" w:themeColor="accent1" w:themeShade="80"/>
          <w:sz w:val="24"/>
          <w:szCs w:val="24"/>
        </w:rPr>
        <w:t xml:space="preserve"> </w:t>
      </w:r>
      <w:r>
        <w:rPr>
          <w:b/>
          <w:color w:val="0B5484" w:themeColor="accent1" w:themeShade="80"/>
          <w:sz w:val="24"/>
          <w:szCs w:val="24"/>
        </w:rPr>
        <w:t xml:space="preserve">Mini-Public </w:t>
      </w:r>
      <w:r w:rsidRPr="00C82A8C">
        <w:rPr>
          <w:b/>
          <w:color w:val="0B5484" w:themeColor="accent1" w:themeShade="80"/>
          <w:sz w:val="24"/>
          <w:szCs w:val="24"/>
        </w:rPr>
        <w:t>Cases</w:t>
      </w:r>
    </w:p>
    <w:tbl>
      <w:tblPr>
        <w:tblStyle w:val="TableGrid"/>
        <w:tblW w:w="11199" w:type="dxa"/>
        <w:tblInd w:w="-998" w:type="dxa"/>
        <w:tblLook w:val="04A0" w:firstRow="1" w:lastRow="0" w:firstColumn="1" w:lastColumn="0" w:noHBand="0" w:noVBand="1"/>
      </w:tblPr>
      <w:tblGrid>
        <w:gridCol w:w="510"/>
        <w:gridCol w:w="3546"/>
        <w:gridCol w:w="1502"/>
        <w:gridCol w:w="2665"/>
        <w:gridCol w:w="2976"/>
      </w:tblGrid>
      <w:tr w:rsidR="00C20525" w:rsidTr="0005094B">
        <w:tc>
          <w:tcPr>
            <w:tcW w:w="510" w:type="dxa"/>
            <w:shd w:val="clear" w:color="auto" w:fill="FFFFFF" w:themeFill="background1"/>
          </w:tcPr>
          <w:p w:rsidR="00C20525" w:rsidRPr="00C4576A" w:rsidRDefault="00C20525" w:rsidP="0005094B">
            <w:pPr>
              <w:rPr>
                <w:rFonts w:cstheme="minorHAnsi"/>
                <w:i/>
                <w:color w:val="0B5484" w:themeColor="accent1" w:themeShade="80"/>
                <w:sz w:val="20"/>
                <w:szCs w:val="20"/>
              </w:rPr>
            </w:pPr>
            <w:r w:rsidRPr="00C4576A">
              <w:rPr>
                <w:rFonts w:cstheme="minorHAnsi"/>
                <w:b/>
                <w:i/>
                <w:color w:val="0B5484" w:themeColor="accent1" w:themeShade="80"/>
                <w:sz w:val="20"/>
                <w:szCs w:val="20"/>
              </w:rPr>
              <w:t>No.</w:t>
            </w:r>
          </w:p>
        </w:tc>
        <w:tc>
          <w:tcPr>
            <w:tcW w:w="35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20525" w:rsidRPr="00C4576A" w:rsidRDefault="00C20525" w:rsidP="0005094B">
            <w:pPr>
              <w:rPr>
                <w:rFonts w:cstheme="minorHAnsi"/>
                <w:b/>
                <w:bCs/>
                <w:i/>
                <w:color w:val="0B5484" w:themeColor="accent1" w:themeShade="80"/>
                <w:sz w:val="20"/>
                <w:szCs w:val="20"/>
              </w:rPr>
            </w:pPr>
            <w:r w:rsidRPr="00C4576A">
              <w:rPr>
                <w:rFonts w:cstheme="minorHAnsi"/>
                <w:b/>
                <w:bCs/>
                <w:i/>
                <w:color w:val="0B5484" w:themeColor="accent1" w:themeShade="80"/>
                <w:sz w:val="20"/>
                <w:szCs w:val="20"/>
              </w:rPr>
              <w:t>Influence of evidence on participants</w:t>
            </w:r>
          </w:p>
        </w:tc>
        <w:tc>
          <w:tcPr>
            <w:tcW w:w="1502" w:type="dxa"/>
            <w:tcBorders>
              <w:top w:val="single" w:sz="4" w:space="0" w:color="auto"/>
              <w:left w:val="nil"/>
              <w:bottom w:val="single" w:sz="4" w:space="0" w:color="auto"/>
              <w:right w:val="single" w:sz="4" w:space="0" w:color="auto"/>
            </w:tcBorders>
            <w:shd w:val="clear" w:color="auto" w:fill="FFFFFF" w:themeFill="background1"/>
            <w:vAlign w:val="center"/>
          </w:tcPr>
          <w:p w:rsidR="00C20525" w:rsidRPr="00C4576A" w:rsidRDefault="00C20525" w:rsidP="0005094B">
            <w:pPr>
              <w:rPr>
                <w:rFonts w:cstheme="minorHAnsi"/>
                <w:b/>
                <w:bCs/>
                <w:i/>
                <w:color w:val="0B5484" w:themeColor="accent1" w:themeShade="80"/>
                <w:sz w:val="20"/>
                <w:szCs w:val="20"/>
              </w:rPr>
            </w:pPr>
            <w:r w:rsidRPr="00C4576A">
              <w:rPr>
                <w:rFonts w:cstheme="minorHAnsi"/>
                <w:b/>
                <w:bCs/>
                <w:i/>
                <w:color w:val="0B5484" w:themeColor="accent1" w:themeShade="80"/>
                <w:sz w:val="20"/>
                <w:szCs w:val="20"/>
              </w:rPr>
              <w:t xml:space="preserve">Policy area </w:t>
            </w:r>
          </w:p>
        </w:tc>
        <w:tc>
          <w:tcPr>
            <w:tcW w:w="2665" w:type="dxa"/>
            <w:tcBorders>
              <w:top w:val="single" w:sz="4" w:space="0" w:color="auto"/>
              <w:left w:val="nil"/>
              <w:bottom w:val="single" w:sz="4" w:space="0" w:color="auto"/>
              <w:right w:val="single" w:sz="4" w:space="0" w:color="auto"/>
            </w:tcBorders>
            <w:shd w:val="clear" w:color="auto" w:fill="FFFFFF" w:themeFill="background1"/>
            <w:vAlign w:val="center"/>
          </w:tcPr>
          <w:p w:rsidR="00C20525" w:rsidRPr="00C4576A" w:rsidRDefault="00C20525" w:rsidP="0005094B">
            <w:pPr>
              <w:rPr>
                <w:rFonts w:cstheme="minorHAnsi"/>
                <w:b/>
                <w:bCs/>
                <w:i/>
                <w:color w:val="0B5484" w:themeColor="accent1" w:themeShade="80"/>
                <w:sz w:val="20"/>
                <w:szCs w:val="20"/>
              </w:rPr>
            </w:pPr>
            <w:r w:rsidRPr="00C4576A">
              <w:rPr>
                <w:rFonts w:cstheme="minorHAnsi"/>
                <w:b/>
                <w:bCs/>
                <w:i/>
                <w:color w:val="0B5484" w:themeColor="accent1" w:themeShade="80"/>
                <w:sz w:val="20"/>
                <w:szCs w:val="20"/>
              </w:rPr>
              <w:t>Extent of policy/ practice influence</w:t>
            </w:r>
          </w:p>
        </w:tc>
        <w:tc>
          <w:tcPr>
            <w:tcW w:w="2976" w:type="dxa"/>
            <w:tcBorders>
              <w:top w:val="single" w:sz="4" w:space="0" w:color="auto"/>
              <w:left w:val="nil"/>
              <w:bottom w:val="single" w:sz="4" w:space="0" w:color="auto"/>
              <w:right w:val="single" w:sz="4" w:space="0" w:color="auto"/>
            </w:tcBorders>
            <w:shd w:val="clear" w:color="auto" w:fill="FFFFFF" w:themeFill="background1"/>
            <w:vAlign w:val="center"/>
          </w:tcPr>
          <w:p w:rsidR="00C20525" w:rsidRPr="00C4576A" w:rsidRDefault="00C20525" w:rsidP="0005094B">
            <w:pPr>
              <w:rPr>
                <w:rFonts w:cstheme="minorHAnsi"/>
                <w:b/>
                <w:bCs/>
                <w:i/>
                <w:color w:val="0B5484" w:themeColor="accent1" w:themeShade="80"/>
                <w:sz w:val="20"/>
                <w:szCs w:val="20"/>
              </w:rPr>
            </w:pPr>
            <w:r w:rsidRPr="00C4576A">
              <w:rPr>
                <w:rFonts w:cstheme="minorHAnsi"/>
                <w:b/>
                <w:bCs/>
                <w:i/>
                <w:color w:val="0B5484" w:themeColor="accent1" w:themeShade="80"/>
                <w:sz w:val="20"/>
                <w:szCs w:val="20"/>
              </w:rPr>
              <w:t>Key references</w:t>
            </w:r>
          </w:p>
        </w:tc>
      </w:tr>
      <w:tr w:rsidR="00C20525" w:rsidTr="0005094B">
        <w:tc>
          <w:tcPr>
            <w:tcW w:w="510" w:type="dxa"/>
            <w:shd w:val="clear" w:color="auto" w:fill="ABD9F8" w:themeFill="accent1" w:themeFillTint="66"/>
            <w:vAlign w:val="center"/>
          </w:tcPr>
          <w:p w:rsidR="00C20525" w:rsidRPr="00FF4A6A" w:rsidRDefault="00C20525" w:rsidP="0005094B">
            <w:pPr>
              <w:rPr>
                <w:rFonts w:cstheme="minorHAnsi"/>
                <w:b/>
                <w:i/>
                <w:sz w:val="20"/>
                <w:szCs w:val="20"/>
              </w:rPr>
            </w:pPr>
            <w:r w:rsidRPr="00FF4A6A">
              <w:rPr>
                <w:rFonts w:cstheme="minorHAnsi"/>
                <w:b/>
                <w:i/>
                <w:sz w:val="20"/>
                <w:szCs w:val="20"/>
              </w:rPr>
              <w:t>30</w:t>
            </w:r>
          </w:p>
        </w:tc>
        <w:tc>
          <w:tcPr>
            <w:tcW w:w="3546" w:type="dxa"/>
            <w:tcBorders>
              <w:top w:val="single" w:sz="4" w:space="0" w:color="auto"/>
              <w:left w:val="single" w:sz="4" w:space="0" w:color="auto"/>
              <w:bottom w:val="single" w:sz="4" w:space="0" w:color="auto"/>
              <w:right w:val="single" w:sz="4" w:space="0" w:color="auto"/>
            </w:tcBorders>
            <w:shd w:val="clear" w:color="auto" w:fill="ABD9F8" w:themeFill="accent1" w:themeFillTint="66"/>
            <w:vAlign w:val="center"/>
          </w:tcPr>
          <w:p w:rsidR="00C20525" w:rsidRPr="00BB7E4F" w:rsidRDefault="00C20525" w:rsidP="0005094B">
            <w:pPr>
              <w:rPr>
                <w:rFonts w:ascii="Calibri" w:hAnsi="Calibri" w:cs="Calibri"/>
                <w:color w:val="000000"/>
                <w:sz w:val="20"/>
                <w:szCs w:val="20"/>
              </w:rPr>
            </w:pPr>
            <w:r w:rsidRPr="00BB7E4F">
              <w:rPr>
                <w:rFonts w:ascii="Calibri" w:hAnsi="Calibri" w:cs="Calibri"/>
                <w:color w:val="000000"/>
                <w:sz w:val="20"/>
                <w:szCs w:val="20"/>
              </w:rPr>
              <w:t>Moderate influence</w:t>
            </w:r>
          </w:p>
        </w:tc>
        <w:tc>
          <w:tcPr>
            <w:tcW w:w="1502" w:type="dxa"/>
            <w:tcBorders>
              <w:top w:val="single" w:sz="4" w:space="0" w:color="auto"/>
              <w:left w:val="nil"/>
              <w:bottom w:val="single" w:sz="4" w:space="0" w:color="auto"/>
              <w:right w:val="single" w:sz="4" w:space="0" w:color="auto"/>
            </w:tcBorders>
            <w:shd w:val="clear" w:color="auto" w:fill="ABD9F8" w:themeFill="accent1" w:themeFillTint="66"/>
            <w:vAlign w:val="center"/>
          </w:tcPr>
          <w:p w:rsidR="00C20525" w:rsidRPr="00BB7E4F" w:rsidRDefault="00C20525" w:rsidP="0005094B">
            <w:pPr>
              <w:rPr>
                <w:rFonts w:ascii="Calibri" w:hAnsi="Calibri" w:cs="Calibri"/>
                <w:color w:val="000000"/>
                <w:sz w:val="20"/>
                <w:szCs w:val="20"/>
              </w:rPr>
            </w:pPr>
            <w:r w:rsidRPr="00BB7E4F">
              <w:rPr>
                <w:rFonts w:ascii="Calibri" w:hAnsi="Calibri" w:cs="Calibri"/>
                <w:color w:val="000000"/>
                <w:sz w:val="20"/>
                <w:szCs w:val="20"/>
              </w:rPr>
              <w:t>Health</w:t>
            </w:r>
          </w:p>
        </w:tc>
        <w:tc>
          <w:tcPr>
            <w:tcW w:w="2665" w:type="dxa"/>
            <w:tcBorders>
              <w:top w:val="single" w:sz="4" w:space="0" w:color="auto"/>
              <w:left w:val="nil"/>
              <w:bottom w:val="single" w:sz="4" w:space="0" w:color="auto"/>
              <w:right w:val="single" w:sz="4" w:space="0" w:color="auto"/>
            </w:tcBorders>
            <w:shd w:val="clear" w:color="auto" w:fill="ABD9F8" w:themeFill="accent1" w:themeFillTint="66"/>
            <w:vAlign w:val="center"/>
          </w:tcPr>
          <w:p w:rsidR="00C20525" w:rsidRPr="00BB7E4F" w:rsidRDefault="00C20525" w:rsidP="0005094B">
            <w:pPr>
              <w:rPr>
                <w:rFonts w:ascii="Calibri" w:hAnsi="Calibri" w:cs="Calibri"/>
                <w:color w:val="000000"/>
                <w:sz w:val="20"/>
                <w:szCs w:val="20"/>
              </w:rPr>
            </w:pPr>
            <w:r w:rsidRPr="00BB7E4F">
              <w:rPr>
                <w:rFonts w:ascii="Calibri" w:hAnsi="Calibri" w:cs="Calibri"/>
                <w:color w:val="000000"/>
                <w:sz w:val="20"/>
                <w:szCs w:val="20"/>
              </w:rPr>
              <w:t>Limited influence</w:t>
            </w:r>
          </w:p>
        </w:tc>
        <w:tc>
          <w:tcPr>
            <w:tcW w:w="2976" w:type="dxa"/>
            <w:shd w:val="clear" w:color="auto" w:fill="ABD9F8" w:themeFill="accent1" w:themeFillTint="66"/>
          </w:tcPr>
          <w:p w:rsidR="00C20525" w:rsidRPr="00BB7E4F" w:rsidRDefault="00C20525" w:rsidP="0005094B">
            <w:pPr>
              <w:rPr>
                <w:rFonts w:cstheme="minorHAnsi"/>
                <w:sz w:val="20"/>
                <w:szCs w:val="20"/>
              </w:rPr>
            </w:pPr>
            <w:r w:rsidRPr="00BB7E4F">
              <w:rPr>
                <w:rFonts w:cstheme="minorHAnsi"/>
                <w:sz w:val="20"/>
                <w:szCs w:val="20"/>
              </w:rPr>
              <w:t>Fletcher (2017)</w:t>
            </w:r>
          </w:p>
        </w:tc>
      </w:tr>
      <w:tr w:rsidR="00C20525" w:rsidTr="0005094B">
        <w:tc>
          <w:tcPr>
            <w:tcW w:w="510" w:type="dxa"/>
            <w:vAlign w:val="center"/>
          </w:tcPr>
          <w:p w:rsidR="00C20525" w:rsidRPr="00FF4A6A" w:rsidRDefault="00C20525" w:rsidP="0005094B">
            <w:pPr>
              <w:rPr>
                <w:rFonts w:cstheme="minorHAnsi"/>
                <w:b/>
                <w:i/>
                <w:sz w:val="20"/>
                <w:szCs w:val="20"/>
              </w:rPr>
            </w:pPr>
            <w:r w:rsidRPr="00FF4A6A">
              <w:rPr>
                <w:rFonts w:cstheme="minorHAnsi"/>
                <w:b/>
                <w:i/>
                <w:sz w:val="20"/>
                <w:szCs w:val="20"/>
              </w:rPr>
              <w:t>31</w:t>
            </w:r>
          </w:p>
        </w:tc>
        <w:tc>
          <w:tcPr>
            <w:tcW w:w="3546" w:type="dxa"/>
            <w:tcBorders>
              <w:top w:val="nil"/>
              <w:left w:val="single" w:sz="4" w:space="0" w:color="auto"/>
              <w:bottom w:val="single" w:sz="4" w:space="0" w:color="auto"/>
              <w:right w:val="single" w:sz="4" w:space="0" w:color="auto"/>
            </w:tcBorders>
            <w:shd w:val="clear" w:color="auto" w:fill="auto"/>
            <w:vAlign w:val="center"/>
          </w:tcPr>
          <w:p w:rsidR="00C20525" w:rsidRPr="00BB7E4F" w:rsidRDefault="00C20525" w:rsidP="0005094B">
            <w:pPr>
              <w:rPr>
                <w:rFonts w:ascii="Calibri" w:hAnsi="Calibri" w:cs="Calibri"/>
                <w:color w:val="000000"/>
                <w:sz w:val="20"/>
                <w:szCs w:val="20"/>
              </w:rPr>
            </w:pPr>
            <w:r w:rsidRPr="00BB7E4F">
              <w:rPr>
                <w:rFonts w:ascii="Calibri" w:hAnsi="Calibri" w:cs="Calibri"/>
                <w:color w:val="000000"/>
                <w:sz w:val="20"/>
                <w:szCs w:val="20"/>
              </w:rPr>
              <w:t>Moderate influence</w:t>
            </w:r>
          </w:p>
        </w:tc>
        <w:tc>
          <w:tcPr>
            <w:tcW w:w="1502" w:type="dxa"/>
            <w:tcBorders>
              <w:top w:val="nil"/>
              <w:left w:val="nil"/>
              <w:bottom w:val="single" w:sz="4" w:space="0" w:color="auto"/>
              <w:right w:val="single" w:sz="4" w:space="0" w:color="auto"/>
            </w:tcBorders>
            <w:shd w:val="clear" w:color="auto" w:fill="auto"/>
            <w:vAlign w:val="center"/>
          </w:tcPr>
          <w:p w:rsidR="00C20525" w:rsidRPr="00BB7E4F" w:rsidRDefault="00C20525" w:rsidP="0005094B">
            <w:pPr>
              <w:rPr>
                <w:rFonts w:ascii="Calibri" w:hAnsi="Calibri" w:cs="Calibri"/>
                <w:color w:val="000000"/>
                <w:sz w:val="20"/>
                <w:szCs w:val="20"/>
              </w:rPr>
            </w:pPr>
            <w:r w:rsidRPr="00BB7E4F">
              <w:rPr>
                <w:rFonts w:ascii="Calibri" w:hAnsi="Calibri" w:cs="Calibri"/>
                <w:color w:val="000000"/>
                <w:sz w:val="20"/>
                <w:szCs w:val="20"/>
              </w:rPr>
              <w:t>Various</w:t>
            </w:r>
          </w:p>
        </w:tc>
        <w:tc>
          <w:tcPr>
            <w:tcW w:w="2665" w:type="dxa"/>
            <w:tcBorders>
              <w:top w:val="nil"/>
              <w:left w:val="nil"/>
              <w:bottom w:val="single" w:sz="4" w:space="0" w:color="auto"/>
              <w:right w:val="single" w:sz="4" w:space="0" w:color="auto"/>
            </w:tcBorders>
            <w:shd w:val="clear" w:color="auto" w:fill="auto"/>
            <w:vAlign w:val="center"/>
          </w:tcPr>
          <w:p w:rsidR="00C20525" w:rsidRPr="00BB7E4F" w:rsidRDefault="00C20525" w:rsidP="0005094B">
            <w:pPr>
              <w:rPr>
                <w:rFonts w:ascii="Calibri" w:hAnsi="Calibri" w:cs="Calibri"/>
                <w:color w:val="000000"/>
                <w:sz w:val="20"/>
                <w:szCs w:val="20"/>
              </w:rPr>
            </w:pPr>
            <w:r w:rsidRPr="00BB7E4F">
              <w:rPr>
                <w:rFonts w:ascii="Calibri" w:hAnsi="Calibri" w:cs="Calibri"/>
                <w:color w:val="000000"/>
                <w:sz w:val="20"/>
                <w:szCs w:val="20"/>
              </w:rPr>
              <w:t>Policy and practice influence</w:t>
            </w:r>
          </w:p>
        </w:tc>
        <w:tc>
          <w:tcPr>
            <w:tcW w:w="2976" w:type="dxa"/>
          </w:tcPr>
          <w:p w:rsidR="00C20525" w:rsidRPr="00BB7E4F" w:rsidRDefault="00C20525" w:rsidP="0005094B">
            <w:pPr>
              <w:rPr>
                <w:rFonts w:cstheme="minorHAnsi"/>
                <w:sz w:val="20"/>
                <w:szCs w:val="20"/>
              </w:rPr>
            </w:pPr>
            <w:proofErr w:type="spellStart"/>
            <w:r w:rsidRPr="00BB7E4F">
              <w:rPr>
                <w:rFonts w:cstheme="minorHAnsi"/>
                <w:sz w:val="20"/>
                <w:szCs w:val="20"/>
              </w:rPr>
              <w:t>Shkabatur</w:t>
            </w:r>
            <w:proofErr w:type="spellEnd"/>
            <w:r w:rsidRPr="00BB7E4F">
              <w:rPr>
                <w:rFonts w:cstheme="minorHAnsi"/>
                <w:sz w:val="20"/>
                <w:szCs w:val="20"/>
              </w:rPr>
              <w:t xml:space="preserve"> (2010)</w:t>
            </w:r>
          </w:p>
        </w:tc>
      </w:tr>
      <w:tr w:rsidR="00C20525" w:rsidTr="0005094B">
        <w:tc>
          <w:tcPr>
            <w:tcW w:w="510" w:type="dxa"/>
            <w:shd w:val="clear" w:color="auto" w:fill="ABD9F8" w:themeFill="accent1" w:themeFillTint="66"/>
            <w:vAlign w:val="center"/>
          </w:tcPr>
          <w:p w:rsidR="00C20525" w:rsidRPr="00FF4A6A" w:rsidRDefault="00C20525" w:rsidP="0005094B">
            <w:pPr>
              <w:rPr>
                <w:rFonts w:cstheme="minorHAnsi"/>
                <w:b/>
                <w:i/>
                <w:sz w:val="20"/>
                <w:szCs w:val="20"/>
              </w:rPr>
            </w:pPr>
            <w:r w:rsidRPr="00FF4A6A">
              <w:rPr>
                <w:rFonts w:cstheme="minorHAnsi"/>
                <w:b/>
                <w:i/>
                <w:sz w:val="20"/>
                <w:szCs w:val="20"/>
              </w:rPr>
              <w:t>32</w:t>
            </w:r>
          </w:p>
        </w:tc>
        <w:tc>
          <w:tcPr>
            <w:tcW w:w="3546" w:type="dxa"/>
            <w:tcBorders>
              <w:top w:val="nil"/>
              <w:left w:val="single" w:sz="4" w:space="0" w:color="auto"/>
              <w:bottom w:val="single" w:sz="4" w:space="0" w:color="auto"/>
              <w:right w:val="single" w:sz="4" w:space="0" w:color="auto"/>
            </w:tcBorders>
            <w:shd w:val="clear" w:color="auto" w:fill="ABD9F8" w:themeFill="accent1" w:themeFillTint="66"/>
            <w:vAlign w:val="center"/>
          </w:tcPr>
          <w:p w:rsidR="00C20525" w:rsidRPr="00BB7E4F" w:rsidRDefault="00C20525" w:rsidP="0005094B">
            <w:pPr>
              <w:rPr>
                <w:rFonts w:ascii="Calibri" w:hAnsi="Calibri" w:cs="Calibri"/>
                <w:color w:val="000000"/>
                <w:sz w:val="20"/>
                <w:szCs w:val="20"/>
              </w:rPr>
            </w:pPr>
            <w:r w:rsidRPr="00BB7E4F">
              <w:rPr>
                <w:rFonts w:ascii="Calibri" w:hAnsi="Calibri" w:cs="Calibri"/>
                <w:color w:val="000000"/>
                <w:sz w:val="20"/>
                <w:szCs w:val="20"/>
              </w:rPr>
              <w:t>Don't know</w:t>
            </w:r>
          </w:p>
        </w:tc>
        <w:tc>
          <w:tcPr>
            <w:tcW w:w="1502" w:type="dxa"/>
            <w:tcBorders>
              <w:top w:val="nil"/>
              <w:left w:val="nil"/>
              <w:bottom w:val="single" w:sz="4" w:space="0" w:color="auto"/>
              <w:right w:val="single" w:sz="4" w:space="0" w:color="auto"/>
            </w:tcBorders>
            <w:shd w:val="clear" w:color="auto" w:fill="ABD9F8" w:themeFill="accent1" w:themeFillTint="66"/>
            <w:vAlign w:val="center"/>
          </w:tcPr>
          <w:p w:rsidR="00C20525" w:rsidRPr="00BB7E4F" w:rsidRDefault="00C20525" w:rsidP="0005094B">
            <w:pPr>
              <w:rPr>
                <w:rFonts w:ascii="Calibri" w:hAnsi="Calibri" w:cs="Calibri"/>
                <w:color w:val="000000"/>
                <w:sz w:val="20"/>
                <w:szCs w:val="20"/>
              </w:rPr>
            </w:pPr>
            <w:r w:rsidRPr="00BB7E4F">
              <w:rPr>
                <w:rFonts w:ascii="Calibri" w:hAnsi="Calibri" w:cs="Calibri"/>
                <w:color w:val="000000"/>
                <w:sz w:val="20"/>
                <w:szCs w:val="20"/>
              </w:rPr>
              <w:t>Health</w:t>
            </w:r>
          </w:p>
        </w:tc>
        <w:tc>
          <w:tcPr>
            <w:tcW w:w="2665" w:type="dxa"/>
            <w:tcBorders>
              <w:top w:val="nil"/>
              <w:left w:val="nil"/>
              <w:bottom w:val="single" w:sz="4" w:space="0" w:color="auto"/>
              <w:right w:val="single" w:sz="4" w:space="0" w:color="auto"/>
            </w:tcBorders>
            <w:shd w:val="clear" w:color="auto" w:fill="ABD9F8" w:themeFill="accent1" w:themeFillTint="66"/>
            <w:vAlign w:val="center"/>
          </w:tcPr>
          <w:p w:rsidR="00C20525" w:rsidRPr="00BB7E4F" w:rsidRDefault="00C20525" w:rsidP="0005094B">
            <w:pPr>
              <w:rPr>
                <w:rFonts w:ascii="Calibri" w:hAnsi="Calibri" w:cs="Calibri"/>
                <w:color w:val="000000"/>
                <w:sz w:val="20"/>
                <w:szCs w:val="20"/>
              </w:rPr>
            </w:pPr>
            <w:r w:rsidRPr="00BB7E4F">
              <w:rPr>
                <w:rFonts w:ascii="Calibri" w:hAnsi="Calibri" w:cs="Calibri"/>
                <w:color w:val="000000"/>
                <w:sz w:val="20"/>
                <w:szCs w:val="20"/>
              </w:rPr>
              <w:t>Don't know</w:t>
            </w:r>
          </w:p>
        </w:tc>
        <w:tc>
          <w:tcPr>
            <w:tcW w:w="2976" w:type="dxa"/>
            <w:shd w:val="clear" w:color="auto" w:fill="ABD9F8" w:themeFill="accent1" w:themeFillTint="66"/>
          </w:tcPr>
          <w:p w:rsidR="00C20525" w:rsidRPr="00BB7E4F" w:rsidRDefault="00C20525" w:rsidP="0005094B">
            <w:pPr>
              <w:rPr>
                <w:rFonts w:cstheme="minorHAnsi"/>
                <w:sz w:val="20"/>
                <w:szCs w:val="20"/>
              </w:rPr>
            </w:pPr>
            <w:proofErr w:type="spellStart"/>
            <w:r w:rsidRPr="00BB7E4F">
              <w:rPr>
                <w:rFonts w:cstheme="minorHAnsi"/>
                <w:sz w:val="20"/>
                <w:szCs w:val="20"/>
              </w:rPr>
              <w:t>Horneff</w:t>
            </w:r>
            <w:proofErr w:type="spellEnd"/>
            <w:r w:rsidRPr="00BB7E4F">
              <w:rPr>
                <w:rFonts w:cstheme="minorHAnsi"/>
                <w:sz w:val="20"/>
                <w:szCs w:val="20"/>
              </w:rPr>
              <w:t xml:space="preserve"> et al. (2017)</w:t>
            </w:r>
          </w:p>
        </w:tc>
      </w:tr>
      <w:tr w:rsidR="00C20525" w:rsidTr="0005094B">
        <w:tc>
          <w:tcPr>
            <w:tcW w:w="510" w:type="dxa"/>
            <w:vAlign w:val="center"/>
          </w:tcPr>
          <w:p w:rsidR="00C20525" w:rsidRPr="00FF4A6A" w:rsidRDefault="00C20525" w:rsidP="0005094B">
            <w:pPr>
              <w:rPr>
                <w:rFonts w:cstheme="minorHAnsi"/>
                <w:b/>
                <w:i/>
                <w:sz w:val="20"/>
                <w:szCs w:val="20"/>
              </w:rPr>
            </w:pPr>
            <w:r w:rsidRPr="00FF4A6A">
              <w:rPr>
                <w:rFonts w:cstheme="minorHAnsi"/>
                <w:b/>
                <w:i/>
                <w:sz w:val="20"/>
                <w:szCs w:val="20"/>
              </w:rPr>
              <w:t>33</w:t>
            </w:r>
          </w:p>
        </w:tc>
        <w:tc>
          <w:tcPr>
            <w:tcW w:w="3546" w:type="dxa"/>
            <w:tcBorders>
              <w:top w:val="nil"/>
              <w:left w:val="single" w:sz="4" w:space="0" w:color="auto"/>
              <w:bottom w:val="single" w:sz="4" w:space="0" w:color="auto"/>
              <w:right w:val="single" w:sz="4" w:space="0" w:color="auto"/>
            </w:tcBorders>
            <w:shd w:val="clear" w:color="auto" w:fill="auto"/>
            <w:vAlign w:val="center"/>
          </w:tcPr>
          <w:p w:rsidR="00C20525" w:rsidRPr="00BB7E4F" w:rsidRDefault="00C20525" w:rsidP="0005094B">
            <w:pPr>
              <w:rPr>
                <w:rFonts w:ascii="Calibri" w:hAnsi="Calibri" w:cs="Calibri"/>
                <w:color w:val="000000"/>
                <w:sz w:val="20"/>
                <w:szCs w:val="20"/>
              </w:rPr>
            </w:pPr>
            <w:r w:rsidRPr="00BB7E4F">
              <w:rPr>
                <w:rFonts w:ascii="Calibri" w:hAnsi="Calibri" w:cs="Calibri"/>
                <w:color w:val="000000"/>
                <w:sz w:val="20"/>
                <w:szCs w:val="20"/>
              </w:rPr>
              <w:t>Don't know</w:t>
            </w:r>
          </w:p>
        </w:tc>
        <w:tc>
          <w:tcPr>
            <w:tcW w:w="1502" w:type="dxa"/>
            <w:tcBorders>
              <w:top w:val="nil"/>
              <w:left w:val="nil"/>
              <w:bottom w:val="single" w:sz="4" w:space="0" w:color="auto"/>
              <w:right w:val="single" w:sz="4" w:space="0" w:color="auto"/>
            </w:tcBorders>
            <w:shd w:val="clear" w:color="auto" w:fill="auto"/>
            <w:vAlign w:val="center"/>
          </w:tcPr>
          <w:p w:rsidR="00C20525" w:rsidRPr="00BB7E4F" w:rsidRDefault="00C20525" w:rsidP="0005094B">
            <w:pPr>
              <w:rPr>
                <w:rFonts w:ascii="Calibri" w:hAnsi="Calibri" w:cs="Calibri"/>
                <w:color w:val="000000"/>
                <w:sz w:val="20"/>
                <w:szCs w:val="20"/>
              </w:rPr>
            </w:pPr>
            <w:r w:rsidRPr="00BB7E4F">
              <w:rPr>
                <w:rFonts w:ascii="Calibri" w:hAnsi="Calibri" w:cs="Calibri"/>
                <w:color w:val="000000"/>
                <w:sz w:val="20"/>
                <w:szCs w:val="20"/>
              </w:rPr>
              <w:t>Health</w:t>
            </w:r>
          </w:p>
        </w:tc>
        <w:tc>
          <w:tcPr>
            <w:tcW w:w="2665" w:type="dxa"/>
            <w:tcBorders>
              <w:top w:val="nil"/>
              <w:left w:val="nil"/>
              <w:bottom w:val="single" w:sz="4" w:space="0" w:color="auto"/>
              <w:right w:val="single" w:sz="4" w:space="0" w:color="auto"/>
            </w:tcBorders>
            <w:shd w:val="clear" w:color="auto" w:fill="auto"/>
            <w:vAlign w:val="center"/>
          </w:tcPr>
          <w:p w:rsidR="00C20525" w:rsidRPr="00BB7E4F" w:rsidRDefault="00C20525" w:rsidP="0005094B">
            <w:pPr>
              <w:rPr>
                <w:rFonts w:ascii="Calibri" w:hAnsi="Calibri" w:cs="Calibri"/>
                <w:color w:val="000000"/>
                <w:sz w:val="20"/>
                <w:szCs w:val="20"/>
              </w:rPr>
            </w:pPr>
            <w:r w:rsidRPr="00BB7E4F">
              <w:rPr>
                <w:rFonts w:ascii="Calibri" w:hAnsi="Calibri" w:cs="Calibri"/>
                <w:color w:val="000000"/>
                <w:sz w:val="20"/>
                <w:szCs w:val="20"/>
              </w:rPr>
              <w:t>Don't know</w:t>
            </w:r>
          </w:p>
        </w:tc>
        <w:tc>
          <w:tcPr>
            <w:tcW w:w="2976" w:type="dxa"/>
          </w:tcPr>
          <w:p w:rsidR="00C20525" w:rsidRPr="00BB7E4F" w:rsidRDefault="00C20525" w:rsidP="0005094B">
            <w:pPr>
              <w:rPr>
                <w:rFonts w:cstheme="minorHAnsi"/>
                <w:sz w:val="20"/>
                <w:szCs w:val="20"/>
              </w:rPr>
            </w:pPr>
            <w:proofErr w:type="spellStart"/>
            <w:r w:rsidRPr="00BB7E4F">
              <w:rPr>
                <w:rFonts w:cstheme="minorHAnsi"/>
                <w:sz w:val="20"/>
                <w:szCs w:val="20"/>
              </w:rPr>
              <w:t>Härter</w:t>
            </w:r>
            <w:proofErr w:type="spellEnd"/>
            <w:r w:rsidRPr="00BB7E4F">
              <w:rPr>
                <w:rFonts w:cstheme="minorHAnsi"/>
                <w:sz w:val="20"/>
                <w:szCs w:val="20"/>
              </w:rPr>
              <w:t xml:space="preserve"> et al. (2010)</w:t>
            </w:r>
          </w:p>
        </w:tc>
      </w:tr>
      <w:tr w:rsidR="00C20525" w:rsidTr="0005094B">
        <w:tc>
          <w:tcPr>
            <w:tcW w:w="510" w:type="dxa"/>
            <w:shd w:val="clear" w:color="auto" w:fill="ABD9F8" w:themeFill="accent1" w:themeFillTint="66"/>
            <w:vAlign w:val="center"/>
          </w:tcPr>
          <w:p w:rsidR="00C20525" w:rsidRPr="00FF4A6A" w:rsidRDefault="00C20525" w:rsidP="0005094B">
            <w:pPr>
              <w:rPr>
                <w:rFonts w:cstheme="minorHAnsi"/>
                <w:b/>
                <w:i/>
                <w:sz w:val="20"/>
                <w:szCs w:val="20"/>
              </w:rPr>
            </w:pPr>
            <w:r w:rsidRPr="00FF4A6A">
              <w:rPr>
                <w:rFonts w:cstheme="minorHAnsi"/>
                <w:b/>
                <w:i/>
                <w:sz w:val="20"/>
                <w:szCs w:val="20"/>
              </w:rPr>
              <w:t>34</w:t>
            </w:r>
          </w:p>
        </w:tc>
        <w:tc>
          <w:tcPr>
            <w:tcW w:w="3546" w:type="dxa"/>
            <w:tcBorders>
              <w:top w:val="nil"/>
              <w:left w:val="single" w:sz="4" w:space="0" w:color="auto"/>
              <w:bottom w:val="single" w:sz="4" w:space="0" w:color="auto"/>
              <w:right w:val="single" w:sz="4" w:space="0" w:color="auto"/>
            </w:tcBorders>
            <w:shd w:val="clear" w:color="auto" w:fill="ABD9F8" w:themeFill="accent1" w:themeFillTint="66"/>
            <w:vAlign w:val="center"/>
          </w:tcPr>
          <w:p w:rsidR="00C20525" w:rsidRPr="00BB7E4F" w:rsidRDefault="00C20525" w:rsidP="0005094B">
            <w:pPr>
              <w:rPr>
                <w:rFonts w:ascii="Calibri" w:hAnsi="Calibri" w:cs="Calibri"/>
                <w:color w:val="000000"/>
                <w:sz w:val="20"/>
                <w:szCs w:val="20"/>
              </w:rPr>
            </w:pPr>
            <w:r w:rsidRPr="00BB7E4F">
              <w:rPr>
                <w:rFonts w:ascii="Calibri" w:hAnsi="Calibri" w:cs="Calibri"/>
                <w:color w:val="000000"/>
                <w:sz w:val="20"/>
                <w:szCs w:val="20"/>
              </w:rPr>
              <w:t>Don't know</w:t>
            </w:r>
          </w:p>
        </w:tc>
        <w:tc>
          <w:tcPr>
            <w:tcW w:w="1502" w:type="dxa"/>
            <w:tcBorders>
              <w:top w:val="nil"/>
              <w:left w:val="nil"/>
              <w:bottom w:val="single" w:sz="4" w:space="0" w:color="auto"/>
              <w:right w:val="single" w:sz="4" w:space="0" w:color="auto"/>
            </w:tcBorders>
            <w:shd w:val="clear" w:color="auto" w:fill="ABD9F8" w:themeFill="accent1" w:themeFillTint="66"/>
            <w:vAlign w:val="center"/>
          </w:tcPr>
          <w:p w:rsidR="00C20525" w:rsidRPr="00BB7E4F" w:rsidRDefault="00C20525" w:rsidP="0005094B">
            <w:pPr>
              <w:rPr>
                <w:rFonts w:ascii="Calibri" w:hAnsi="Calibri" w:cs="Calibri"/>
                <w:color w:val="000000"/>
                <w:sz w:val="20"/>
                <w:szCs w:val="20"/>
              </w:rPr>
            </w:pPr>
            <w:r w:rsidRPr="00BB7E4F">
              <w:rPr>
                <w:rFonts w:ascii="Calibri" w:hAnsi="Calibri" w:cs="Calibri"/>
                <w:color w:val="000000"/>
                <w:sz w:val="20"/>
                <w:szCs w:val="20"/>
              </w:rPr>
              <w:t>Health</w:t>
            </w:r>
          </w:p>
        </w:tc>
        <w:tc>
          <w:tcPr>
            <w:tcW w:w="2665" w:type="dxa"/>
            <w:tcBorders>
              <w:top w:val="nil"/>
              <w:left w:val="nil"/>
              <w:bottom w:val="single" w:sz="4" w:space="0" w:color="auto"/>
              <w:right w:val="single" w:sz="4" w:space="0" w:color="auto"/>
            </w:tcBorders>
            <w:shd w:val="clear" w:color="auto" w:fill="ABD9F8" w:themeFill="accent1" w:themeFillTint="66"/>
            <w:vAlign w:val="center"/>
          </w:tcPr>
          <w:p w:rsidR="00C20525" w:rsidRPr="00BB7E4F" w:rsidRDefault="00C20525" w:rsidP="0005094B">
            <w:pPr>
              <w:rPr>
                <w:rFonts w:ascii="Calibri" w:hAnsi="Calibri" w:cs="Calibri"/>
                <w:color w:val="000000"/>
                <w:sz w:val="20"/>
                <w:szCs w:val="20"/>
              </w:rPr>
            </w:pPr>
            <w:r w:rsidRPr="00BB7E4F">
              <w:rPr>
                <w:rFonts w:ascii="Calibri" w:hAnsi="Calibri" w:cs="Calibri"/>
                <w:color w:val="000000"/>
                <w:sz w:val="20"/>
                <w:szCs w:val="20"/>
              </w:rPr>
              <w:t>Don't know</w:t>
            </w:r>
          </w:p>
        </w:tc>
        <w:tc>
          <w:tcPr>
            <w:tcW w:w="2976" w:type="dxa"/>
            <w:shd w:val="clear" w:color="auto" w:fill="ABD9F8" w:themeFill="accent1" w:themeFillTint="66"/>
          </w:tcPr>
          <w:p w:rsidR="00C20525" w:rsidRPr="00BB7E4F" w:rsidRDefault="00C20525" w:rsidP="0005094B">
            <w:pPr>
              <w:rPr>
                <w:rFonts w:cstheme="minorHAnsi"/>
                <w:sz w:val="20"/>
                <w:szCs w:val="20"/>
              </w:rPr>
            </w:pPr>
            <w:proofErr w:type="spellStart"/>
            <w:r w:rsidRPr="00BB7E4F">
              <w:rPr>
                <w:rFonts w:cstheme="minorHAnsi"/>
                <w:sz w:val="20"/>
                <w:szCs w:val="20"/>
              </w:rPr>
              <w:t>Möhler</w:t>
            </w:r>
            <w:proofErr w:type="spellEnd"/>
            <w:r w:rsidRPr="00BB7E4F">
              <w:rPr>
                <w:rFonts w:cstheme="minorHAnsi"/>
                <w:sz w:val="20"/>
                <w:szCs w:val="20"/>
              </w:rPr>
              <w:t xml:space="preserve"> et al. (2015)</w:t>
            </w:r>
          </w:p>
        </w:tc>
      </w:tr>
      <w:tr w:rsidR="00C20525" w:rsidTr="0005094B">
        <w:tc>
          <w:tcPr>
            <w:tcW w:w="510" w:type="dxa"/>
            <w:vAlign w:val="center"/>
          </w:tcPr>
          <w:p w:rsidR="00C20525" w:rsidRPr="00FF4A6A" w:rsidRDefault="00C20525" w:rsidP="0005094B">
            <w:pPr>
              <w:rPr>
                <w:rFonts w:cstheme="minorHAnsi"/>
                <w:b/>
                <w:i/>
                <w:sz w:val="20"/>
                <w:szCs w:val="20"/>
              </w:rPr>
            </w:pPr>
            <w:r w:rsidRPr="00FF4A6A">
              <w:rPr>
                <w:rFonts w:cstheme="minorHAnsi"/>
                <w:b/>
                <w:i/>
                <w:sz w:val="20"/>
                <w:szCs w:val="20"/>
              </w:rPr>
              <w:t>35</w:t>
            </w:r>
          </w:p>
        </w:tc>
        <w:tc>
          <w:tcPr>
            <w:tcW w:w="3546" w:type="dxa"/>
            <w:tcBorders>
              <w:top w:val="nil"/>
              <w:left w:val="single" w:sz="4" w:space="0" w:color="auto"/>
              <w:bottom w:val="single" w:sz="4" w:space="0" w:color="auto"/>
              <w:right w:val="single" w:sz="4" w:space="0" w:color="auto"/>
            </w:tcBorders>
            <w:shd w:val="clear" w:color="auto" w:fill="auto"/>
            <w:vAlign w:val="center"/>
          </w:tcPr>
          <w:p w:rsidR="00C20525" w:rsidRPr="00BB7E4F" w:rsidRDefault="00C20525" w:rsidP="0005094B">
            <w:pPr>
              <w:rPr>
                <w:rFonts w:ascii="Calibri" w:hAnsi="Calibri" w:cs="Calibri"/>
                <w:color w:val="000000"/>
                <w:sz w:val="20"/>
                <w:szCs w:val="20"/>
              </w:rPr>
            </w:pPr>
            <w:r w:rsidRPr="00BB7E4F">
              <w:rPr>
                <w:rFonts w:ascii="Calibri" w:hAnsi="Calibri" w:cs="Calibri"/>
                <w:color w:val="000000"/>
                <w:sz w:val="20"/>
                <w:szCs w:val="20"/>
              </w:rPr>
              <w:t>Don't know</w:t>
            </w:r>
          </w:p>
        </w:tc>
        <w:tc>
          <w:tcPr>
            <w:tcW w:w="1502" w:type="dxa"/>
            <w:tcBorders>
              <w:top w:val="nil"/>
              <w:left w:val="nil"/>
              <w:bottom w:val="single" w:sz="4" w:space="0" w:color="auto"/>
              <w:right w:val="single" w:sz="4" w:space="0" w:color="auto"/>
            </w:tcBorders>
            <w:shd w:val="clear" w:color="auto" w:fill="auto"/>
            <w:vAlign w:val="center"/>
          </w:tcPr>
          <w:p w:rsidR="00C20525" w:rsidRPr="00BB7E4F" w:rsidRDefault="00C20525" w:rsidP="0005094B">
            <w:pPr>
              <w:rPr>
                <w:rFonts w:ascii="Calibri" w:hAnsi="Calibri" w:cs="Calibri"/>
                <w:color w:val="000000"/>
                <w:sz w:val="20"/>
                <w:szCs w:val="20"/>
              </w:rPr>
            </w:pPr>
            <w:r w:rsidRPr="00BB7E4F">
              <w:rPr>
                <w:rFonts w:ascii="Calibri" w:hAnsi="Calibri" w:cs="Calibri"/>
                <w:color w:val="000000"/>
                <w:sz w:val="20"/>
                <w:szCs w:val="20"/>
              </w:rPr>
              <w:t>Health</w:t>
            </w:r>
          </w:p>
        </w:tc>
        <w:tc>
          <w:tcPr>
            <w:tcW w:w="2665" w:type="dxa"/>
            <w:tcBorders>
              <w:top w:val="nil"/>
              <w:left w:val="nil"/>
              <w:bottom w:val="single" w:sz="4" w:space="0" w:color="auto"/>
              <w:right w:val="single" w:sz="4" w:space="0" w:color="auto"/>
            </w:tcBorders>
            <w:shd w:val="clear" w:color="auto" w:fill="auto"/>
            <w:vAlign w:val="center"/>
          </w:tcPr>
          <w:p w:rsidR="00C20525" w:rsidRPr="00BB7E4F" w:rsidRDefault="00C20525" w:rsidP="0005094B">
            <w:pPr>
              <w:rPr>
                <w:rFonts w:ascii="Calibri" w:hAnsi="Calibri" w:cs="Calibri"/>
                <w:color w:val="000000"/>
                <w:sz w:val="20"/>
                <w:szCs w:val="20"/>
              </w:rPr>
            </w:pPr>
            <w:r w:rsidRPr="00BB7E4F">
              <w:rPr>
                <w:rFonts w:ascii="Calibri" w:hAnsi="Calibri" w:cs="Calibri"/>
                <w:color w:val="000000"/>
                <w:sz w:val="20"/>
                <w:szCs w:val="20"/>
              </w:rPr>
              <w:t>Don't know</w:t>
            </w:r>
          </w:p>
        </w:tc>
        <w:tc>
          <w:tcPr>
            <w:tcW w:w="2976" w:type="dxa"/>
          </w:tcPr>
          <w:p w:rsidR="00C20525" w:rsidRPr="00BB7E4F" w:rsidRDefault="00C20525" w:rsidP="0005094B">
            <w:pPr>
              <w:rPr>
                <w:rFonts w:cstheme="minorHAnsi"/>
                <w:sz w:val="20"/>
                <w:szCs w:val="20"/>
              </w:rPr>
            </w:pPr>
            <w:r w:rsidRPr="00BB7E4F">
              <w:rPr>
                <w:rFonts w:cstheme="minorHAnsi"/>
                <w:sz w:val="20"/>
                <w:szCs w:val="20"/>
              </w:rPr>
              <w:t>Renz et al. (2011)</w:t>
            </w:r>
          </w:p>
        </w:tc>
      </w:tr>
      <w:tr w:rsidR="00C20525" w:rsidTr="0005094B">
        <w:tc>
          <w:tcPr>
            <w:tcW w:w="510" w:type="dxa"/>
            <w:shd w:val="clear" w:color="auto" w:fill="ABD9F8" w:themeFill="accent1" w:themeFillTint="66"/>
            <w:vAlign w:val="center"/>
          </w:tcPr>
          <w:p w:rsidR="00C20525" w:rsidRPr="00FF4A6A" w:rsidRDefault="00C20525" w:rsidP="0005094B">
            <w:pPr>
              <w:rPr>
                <w:rFonts w:cstheme="minorHAnsi"/>
                <w:b/>
                <w:i/>
                <w:sz w:val="20"/>
                <w:szCs w:val="20"/>
              </w:rPr>
            </w:pPr>
            <w:r w:rsidRPr="00FF4A6A">
              <w:rPr>
                <w:rFonts w:cstheme="minorHAnsi"/>
                <w:b/>
                <w:i/>
                <w:sz w:val="20"/>
                <w:szCs w:val="20"/>
              </w:rPr>
              <w:t>36</w:t>
            </w:r>
          </w:p>
        </w:tc>
        <w:tc>
          <w:tcPr>
            <w:tcW w:w="3546" w:type="dxa"/>
            <w:tcBorders>
              <w:top w:val="nil"/>
              <w:left w:val="single" w:sz="4" w:space="0" w:color="auto"/>
              <w:bottom w:val="single" w:sz="4" w:space="0" w:color="auto"/>
              <w:right w:val="single" w:sz="4" w:space="0" w:color="auto"/>
            </w:tcBorders>
            <w:shd w:val="clear" w:color="auto" w:fill="ABD9F8" w:themeFill="accent1" w:themeFillTint="66"/>
            <w:vAlign w:val="center"/>
          </w:tcPr>
          <w:p w:rsidR="00C20525" w:rsidRPr="00BB7E4F" w:rsidRDefault="00C20525" w:rsidP="0005094B">
            <w:pPr>
              <w:rPr>
                <w:rFonts w:ascii="Calibri" w:hAnsi="Calibri" w:cs="Calibri"/>
                <w:color w:val="000000"/>
                <w:sz w:val="20"/>
                <w:szCs w:val="20"/>
              </w:rPr>
            </w:pPr>
            <w:r w:rsidRPr="00BB7E4F">
              <w:rPr>
                <w:rFonts w:ascii="Calibri" w:hAnsi="Calibri" w:cs="Calibri"/>
                <w:color w:val="000000"/>
                <w:sz w:val="20"/>
                <w:szCs w:val="20"/>
              </w:rPr>
              <w:t>Don't know</w:t>
            </w:r>
          </w:p>
        </w:tc>
        <w:tc>
          <w:tcPr>
            <w:tcW w:w="1502" w:type="dxa"/>
            <w:tcBorders>
              <w:top w:val="nil"/>
              <w:left w:val="nil"/>
              <w:bottom w:val="single" w:sz="4" w:space="0" w:color="auto"/>
              <w:right w:val="single" w:sz="4" w:space="0" w:color="auto"/>
            </w:tcBorders>
            <w:shd w:val="clear" w:color="auto" w:fill="ABD9F8" w:themeFill="accent1" w:themeFillTint="66"/>
            <w:vAlign w:val="center"/>
          </w:tcPr>
          <w:p w:rsidR="00C20525" w:rsidRPr="00BB7E4F" w:rsidRDefault="00C20525" w:rsidP="0005094B">
            <w:pPr>
              <w:rPr>
                <w:rFonts w:ascii="Calibri" w:hAnsi="Calibri" w:cs="Calibri"/>
                <w:color w:val="000000"/>
                <w:sz w:val="20"/>
                <w:szCs w:val="20"/>
              </w:rPr>
            </w:pPr>
            <w:r w:rsidRPr="00BB7E4F">
              <w:rPr>
                <w:rFonts w:ascii="Calibri" w:hAnsi="Calibri" w:cs="Calibri"/>
                <w:color w:val="000000"/>
                <w:sz w:val="20"/>
                <w:szCs w:val="20"/>
              </w:rPr>
              <w:t>Health</w:t>
            </w:r>
          </w:p>
        </w:tc>
        <w:tc>
          <w:tcPr>
            <w:tcW w:w="2665" w:type="dxa"/>
            <w:tcBorders>
              <w:top w:val="nil"/>
              <w:left w:val="nil"/>
              <w:bottom w:val="single" w:sz="4" w:space="0" w:color="auto"/>
              <w:right w:val="single" w:sz="4" w:space="0" w:color="auto"/>
            </w:tcBorders>
            <w:shd w:val="clear" w:color="auto" w:fill="ABD9F8" w:themeFill="accent1" w:themeFillTint="66"/>
            <w:vAlign w:val="center"/>
          </w:tcPr>
          <w:p w:rsidR="00C20525" w:rsidRPr="00BB7E4F" w:rsidRDefault="00C20525" w:rsidP="0005094B">
            <w:pPr>
              <w:rPr>
                <w:rFonts w:ascii="Calibri" w:hAnsi="Calibri" w:cs="Calibri"/>
                <w:color w:val="000000"/>
                <w:sz w:val="20"/>
                <w:szCs w:val="20"/>
              </w:rPr>
            </w:pPr>
            <w:r w:rsidRPr="00BB7E4F">
              <w:rPr>
                <w:rFonts w:ascii="Calibri" w:hAnsi="Calibri" w:cs="Calibri"/>
                <w:color w:val="000000"/>
                <w:sz w:val="20"/>
                <w:szCs w:val="20"/>
              </w:rPr>
              <w:t>Don't know</w:t>
            </w:r>
          </w:p>
        </w:tc>
        <w:tc>
          <w:tcPr>
            <w:tcW w:w="2976" w:type="dxa"/>
            <w:shd w:val="clear" w:color="auto" w:fill="ABD9F8" w:themeFill="accent1" w:themeFillTint="66"/>
          </w:tcPr>
          <w:p w:rsidR="00C20525" w:rsidRPr="00BB7E4F" w:rsidRDefault="00C20525" w:rsidP="0005094B">
            <w:pPr>
              <w:rPr>
                <w:rFonts w:cstheme="minorHAnsi"/>
                <w:sz w:val="20"/>
                <w:szCs w:val="20"/>
              </w:rPr>
            </w:pPr>
            <w:proofErr w:type="spellStart"/>
            <w:r w:rsidRPr="00BB7E4F">
              <w:rPr>
                <w:rFonts w:cstheme="minorHAnsi"/>
                <w:sz w:val="20"/>
                <w:szCs w:val="20"/>
              </w:rPr>
              <w:t>Meeuwisse</w:t>
            </w:r>
            <w:proofErr w:type="spellEnd"/>
            <w:r w:rsidRPr="00BB7E4F">
              <w:rPr>
                <w:rFonts w:cstheme="minorHAnsi"/>
                <w:sz w:val="20"/>
                <w:szCs w:val="20"/>
              </w:rPr>
              <w:t xml:space="preserve"> (2017)</w:t>
            </w:r>
          </w:p>
        </w:tc>
      </w:tr>
      <w:tr w:rsidR="00C20525" w:rsidTr="0005094B">
        <w:tc>
          <w:tcPr>
            <w:tcW w:w="510" w:type="dxa"/>
            <w:vAlign w:val="center"/>
          </w:tcPr>
          <w:p w:rsidR="00C20525" w:rsidRPr="00FF4A6A" w:rsidRDefault="00C20525" w:rsidP="0005094B">
            <w:pPr>
              <w:rPr>
                <w:rFonts w:cstheme="minorHAnsi"/>
                <w:b/>
                <w:i/>
                <w:sz w:val="20"/>
                <w:szCs w:val="20"/>
              </w:rPr>
            </w:pPr>
            <w:r w:rsidRPr="00FF4A6A">
              <w:rPr>
                <w:rFonts w:cstheme="minorHAnsi"/>
                <w:b/>
                <w:i/>
                <w:sz w:val="20"/>
                <w:szCs w:val="20"/>
              </w:rPr>
              <w:t>37</w:t>
            </w:r>
          </w:p>
        </w:tc>
        <w:tc>
          <w:tcPr>
            <w:tcW w:w="3546" w:type="dxa"/>
            <w:tcBorders>
              <w:top w:val="single" w:sz="4" w:space="0" w:color="auto"/>
              <w:left w:val="single" w:sz="4" w:space="0" w:color="auto"/>
              <w:bottom w:val="single" w:sz="4" w:space="0" w:color="auto"/>
              <w:right w:val="single" w:sz="4" w:space="0" w:color="auto"/>
            </w:tcBorders>
            <w:shd w:val="clear" w:color="auto" w:fill="auto"/>
            <w:vAlign w:val="center"/>
          </w:tcPr>
          <w:p w:rsidR="00C20525" w:rsidRPr="00BB7E4F" w:rsidRDefault="00C20525" w:rsidP="0005094B">
            <w:pPr>
              <w:rPr>
                <w:rFonts w:ascii="Calibri" w:hAnsi="Calibri" w:cs="Calibri"/>
                <w:color w:val="000000"/>
                <w:sz w:val="20"/>
                <w:szCs w:val="20"/>
              </w:rPr>
            </w:pPr>
            <w:r w:rsidRPr="00BB7E4F">
              <w:rPr>
                <w:rFonts w:ascii="Calibri" w:hAnsi="Calibri" w:cs="Calibri"/>
                <w:color w:val="000000"/>
                <w:sz w:val="20"/>
                <w:szCs w:val="20"/>
              </w:rPr>
              <w:t>Moderate</w:t>
            </w:r>
          </w:p>
        </w:tc>
        <w:tc>
          <w:tcPr>
            <w:tcW w:w="1502" w:type="dxa"/>
            <w:tcBorders>
              <w:top w:val="single" w:sz="4" w:space="0" w:color="auto"/>
              <w:left w:val="nil"/>
              <w:bottom w:val="single" w:sz="4" w:space="0" w:color="auto"/>
              <w:right w:val="single" w:sz="4" w:space="0" w:color="auto"/>
            </w:tcBorders>
            <w:shd w:val="clear" w:color="auto" w:fill="auto"/>
            <w:vAlign w:val="center"/>
          </w:tcPr>
          <w:p w:rsidR="00C20525" w:rsidRPr="00BB7E4F" w:rsidRDefault="00C20525" w:rsidP="0005094B">
            <w:pPr>
              <w:rPr>
                <w:rFonts w:ascii="Calibri" w:hAnsi="Calibri" w:cs="Calibri"/>
                <w:color w:val="000000"/>
                <w:sz w:val="20"/>
                <w:szCs w:val="20"/>
              </w:rPr>
            </w:pPr>
            <w:r w:rsidRPr="00BB7E4F">
              <w:rPr>
                <w:rFonts w:ascii="Calibri" w:hAnsi="Calibri" w:cs="Calibri"/>
                <w:color w:val="000000"/>
                <w:sz w:val="20"/>
                <w:szCs w:val="20"/>
              </w:rPr>
              <w:t>Housing</w:t>
            </w:r>
          </w:p>
        </w:tc>
        <w:tc>
          <w:tcPr>
            <w:tcW w:w="2665" w:type="dxa"/>
            <w:tcBorders>
              <w:top w:val="single" w:sz="4" w:space="0" w:color="auto"/>
              <w:left w:val="nil"/>
              <w:bottom w:val="single" w:sz="4" w:space="0" w:color="auto"/>
              <w:right w:val="single" w:sz="4" w:space="0" w:color="auto"/>
            </w:tcBorders>
            <w:shd w:val="clear" w:color="auto" w:fill="auto"/>
            <w:vAlign w:val="center"/>
          </w:tcPr>
          <w:p w:rsidR="00C20525" w:rsidRPr="00BB7E4F" w:rsidRDefault="00C20525" w:rsidP="0005094B">
            <w:pPr>
              <w:rPr>
                <w:rFonts w:ascii="Calibri" w:hAnsi="Calibri" w:cs="Calibri"/>
                <w:color w:val="000000"/>
                <w:sz w:val="20"/>
                <w:szCs w:val="20"/>
              </w:rPr>
            </w:pPr>
            <w:r w:rsidRPr="00BB7E4F">
              <w:rPr>
                <w:rFonts w:ascii="Calibri" w:hAnsi="Calibri" w:cs="Calibri"/>
                <w:color w:val="000000"/>
                <w:sz w:val="20"/>
                <w:szCs w:val="20"/>
              </w:rPr>
              <w:t>Don't know</w:t>
            </w:r>
          </w:p>
        </w:tc>
        <w:tc>
          <w:tcPr>
            <w:tcW w:w="2976" w:type="dxa"/>
            <w:tcBorders>
              <w:top w:val="single" w:sz="4" w:space="0" w:color="auto"/>
              <w:left w:val="nil"/>
              <w:bottom w:val="single" w:sz="4" w:space="0" w:color="auto"/>
              <w:right w:val="single" w:sz="4" w:space="0" w:color="auto"/>
            </w:tcBorders>
            <w:shd w:val="clear" w:color="auto" w:fill="auto"/>
            <w:vAlign w:val="center"/>
          </w:tcPr>
          <w:p w:rsidR="00C20525" w:rsidRPr="00BB7E4F" w:rsidRDefault="00C20525" w:rsidP="0005094B">
            <w:pPr>
              <w:rPr>
                <w:rFonts w:ascii="Calibri" w:hAnsi="Calibri" w:cs="Calibri"/>
                <w:color w:val="000000"/>
                <w:sz w:val="20"/>
                <w:szCs w:val="20"/>
              </w:rPr>
            </w:pPr>
            <w:proofErr w:type="spellStart"/>
            <w:r w:rsidRPr="00BB7E4F">
              <w:rPr>
                <w:rFonts w:ascii="Calibri" w:hAnsi="Calibri" w:cs="Calibri"/>
                <w:color w:val="000000"/>
                <w:sz w:val="20"/>
                <w:szCs w:val="20"/>
              </w:rPr>
              <w:t>Huitema</w:t>
            </w:r>
            <w:proofErr w:type="spellEnd"/>
            <w:r w:rsidRPr="00BB7E4F">
              <w:rPr>
                <w:rFonts w:ascii="Calibri" w:hAnsi="Calibri" w:cs="Calibri"/>
                <w:color w:val="000000"/>
                <w:sz w:val="20"/>
                <w:szCs w:val="20"/>
              </w:rPr>
              <w:t xml:space="preserve"> et al. (2008)</w:t>
            </w:r>
          </w:p>
        </w:tc>
      </w:tr>
    </w:tbl>
    <w:p w:rsidR="00A400D3" w:rsidRPr="00A400D3" w:rsidRDefault="00A400D3" w:rsidP="00A400D3">
      <w:pPr>
        <w:rPr>
          <w:i/>
          <w:sz w:val="24"/>
          <w:szCs w:val="24"/>
          <w:lang w:val="it-IT"/>
        </w:rPr>
      </w:pPr>
    </w:p>
    <w:p w:rsidR="00A400D3" w:rsidRPr="00C95AFC" w:rsidRDefault="00A400D3" w:rsidP="00A400D3">
      <w:pPr>
        <w:numPr>
          <w:ilvl w:val="0"/>
          <w:numId w:val="13"/>
        </w:numPr>
        <w:rPr>
          <w:b/>
          <w:i/>
          <w:color w:val="0B5484" w:themeColor="accent1" w:themeShade="80"/>
          <w:sz w:val="24"/>
          <w:szCs w:val="24"/>
          <w:lang w:val="it-IT"/>
        </w:rPr>
      </w:pPr>
      <w:r w:rsidRPr="00C95AFC">
        <w:rPr>
          <w:b/>
          <w:i/>
          <w:color w:val="0B5484" w:themeColor="accent1" w:themeShade="80"/>
          <w:sz w:val="24"/>
          <w:szCs w:val="24"/>
        </w:rPr>
        <w:t>Are there any trends across the cases in each country that suggest certain types of social policy and practice are more open to evidence synthesised by mini-publics than others?</w:t>
      </w:r>
    </w:p>
    <w:p w:rsidR="00A400D3" w:rsidRPr="00A400D3" w:rsidRDefault="00A400D3" w:rsidP="00893415">
      <w:pPr>
        <w:jc w:val="both"/>
        <w:rPr>
          <w:sz w:val="24"/>
          <w:szCs w:val="24"/>
          <w:lang w:val="it-IT"/>
        </w:rPr>
      </w:pPr>
      <w:r w:rsidRPr="00A400D3">
        <w:rPr>
          <w:sz w:val="24"/>
          <w:szCs w:val="24"/>
          <w:lang w:val="it-IT"/>
        </w:rPr>
        <w:t>It is not possible to deduce that certain areas of social policy are more open to evidence from mini-publics, but there are clear trends about which policy areas use mini-publics, and in the case of Germany</w:t>
      </w:r>
      <w:r w:rsidR="00C95AFC">
        <w:rPr>
          <w:sz w:val="24"/>
          <w:szCs w:val="24"/>
          <w:lang w:val="it-IT"/>
        </w:rPr>
        <w:t xml:space="preserve"> they predominalty ralted to</w:t>
      </w:r>
      <w:r w:rsidRPr="00A400D3">
        <w:rPr>
          <w:sz w:val="24"/>
          <w:szCs w:val="24"/>
          <w:lang w:val="it-IT"/>
        </w:rPr>
        <w:t xml:space="preserve"> medicine. This includes all of the Consensus Conferences which were in medicine, and spanned numerous sub-fields, including rhemutaology, mental health, sports science and chronic disease. In addition, the only Citizens’ Jury identified in Germany was in medicine, and focussed on </w:t>
      </w:r>
      <w:r w:rsidRPr="00A400D3">
        <w:rPr>
          <w:sz w:val="24"/>
          <w:szCs w:val="24"/>
        </w:rPr>
        <w:t>arthritis</w:t>
      </w:r>
      <w:r w:rsidRPr="00A400D3">
        <w:rPr>
          <w:sz w:val="24"/>
          <w:szCs w:val="24"/>
          <w:lang w:val="it-IT"/>
        </w:rPr>
        <w:t xml:space="preserve">. </w:t>
      </w:r>
    </w:p>
    <w:p w:rsidR="00A400D3" w:rsidRPr="00A400D3" w:rsidRDefault="00A400D3" w:rsidP="00A400D3">
      <w:pPr>
        <w:rPr>
          <w:i/>
          <w:sz w:val="24"/>
          <w:szCs w:val="24"/>
          <w:lang w:val="it-IT"/>
        </w:rPr>
      </w:pPr>
    </w:p>
    <w:tbl>
      <w:tblPr>
        <w:tblStyle w:val="TableGrid"/>
        <w:tblW w:w="9493" w:type="dxa"/>
        <w:shd w:val="clear" w:color="auto" w:fill="ABD9F8" w:themeFill="accent1" w:themeFillTint="66"/>
        <w:tblLook w:val="04A0" w:firstRow="1" w:lastRow="0" w:firstColumn="1" w:lastColumn="0" w:noHBand="0" w:noVBand="1"/>
      </w:tblPr>
      <w:tblGrid>
        <w:gridCol w:w="9493"/>
      </w:tblGrid>
      <w:tr w:rsidR="00F6193E" w:rsidTr="00674FAD">
        <w:trPr>
          <w:trHeight w:val="7220"/>
        </w:trPr>
        <w:tc>
          <w:tcPr>
            <w:tcW w:w="9493" w:type="dxa"/>
            <w:shd w:val="clear" w:color="auto" w:fill="ABD9F8" w:themeFill="accent1" w:themeFillTint="66"/>
          </w:tcPr>
          <w:p w:rsidR="00F6193E" w:rsidRPr="00F6193E" w:rsidRDefault="00F6193E" w:rsidP="0005094B">
            <w:pPr>
              <w:jc w:val="both"/>
              <w:rPr>
                <w:b/>
                <w:sz w:val="28"/>
                <w:szCs w:val="28"/>
              </w:rPr>
            </w:pPr>
            <w:bookmarkStart w:id="5" w:name="_Hlk517856138"/>
            <w:r w:rsidRPr="00F6193E">
              <w:rPr>
                <w:b/>
                <w:sz w:val="28"/>
                <w:szCs w:val="28"/>
              </w:rPr>
              <w:t>Citizens’ Jury on Arthritis, Bayern, 2011</w:t>
            </w:r>
          </w:p>
          <w:p w:rsidR="00F6193E" w:rsidRPr="00F6193E" w:rsidRDefault="00F6193E" w:rsidP="0005094B">
            <w:pPr>
              <w:jc w:val="both"/>
              <w:rPr>
                <w:b/>
              </w:rPr>
            </w:pPr>
          </w:p>
          <w:p w:rsidR="00F6193E" w:rsidRPr="00F6193E" w:rsidRDefault="00F6193E" w:rsidP="0005094B">
            <w:pPr>
              <w:jc w:val="both"/>
              <w:rPr>
                <w:b/>
              </w:rPr>
            </w:pPr>
            <w:r w:rsidRPr="00F6193E">
              <w:rPr>
                <w:b/>
              </w:rPr>
              <w:t>Background</w:t>
            </w:r>
          </w:p>
          <w:p w:rsidR="00F6193E" w:rsidRPr="00F6193E" w:rsidRDefault="00F6193E" w:rsidP="0005094B">
            <w:pPr>
              <w:jc w:val="both"/>
              <w:rPr>
                <w:rFonts w:eastAsia="Times New Roman" w:cs="Calibri"/>
                <w:color w:val="000000"/>
                <w:lang w:eastAsia="en-GB"/>
              </w:rPr>
            </w:pPr>
            <w:r w:rsidRPr="00F6193E">
              <w:rPr>
                <w:rFonts w:eastAsia="Times New Roman" w:cs="Calibri"/>
                <w:color w:val="000000"/>
                <w:lang w:eastAsia="en-GB"/>
              </w:rPr>
              <w:t xml:space="preserve">In May 2011, a 4-day Citizens’ Jury was held to discuss GAMBA: Gene Activated Matrix for Bone and Cartilage Regeneration on Arthritis (case np. 30). GAMBA is an innovative treatment of osteoarthritis (Fletcher 2017). The Citizens’ Jury was convened to assess what patients and citizens know about GAMBA, and if they have any particular interests or concerns. In addition, the mini-public aimed to understand patients and citizens recommendations to regulators, industry, and the media, about the opportunities, risks, and ethical implications of GAMBA. Fifty healthcare practitioners and professionals attended (Fletcher 2017). </w:t>
            </w:r>
          </w:p>
          <w:p w:rsidR="00F6193E" w:rsidRPr="00F6193E" w:rsidRDefault="00F6193E" w:rsidP="0005094B">
            <w:pPr>
              <w:jc w:val="both"/>
              <w:rPr>
                <w:rFonts w:eastAsia="Times New Roman" w:cs="Calibri"/>
                <w:color w:val="000000"/>
                <w:lang w:eastAsia="en-GB"/>
              </w:rPr>
            </w:pPr>
          </w:p>
          <w:p w:rsidR="00F6193E" w:rsidRPr="00F6193E" w:rsidRDefault="00F6193E" w:rsidP="0005094B">
            <w:pPr>
              <w:jc w:val="both"/>
              <w:rPr>
                <w:b/>
              </w:rPr>
            </w:pPr>
            <w:r w:rsidRPr="00F6193E">
              <w:rPr>
                <w:b/>
              </w:rPr>
              <w:t xml:space="preserve">Use of Witnesses </w:t>
            </w:r>
          </w:p>
          <w:p w:rsidR="00F6193E" w:rsidRPr="00F6193E" w:rsidRDefault="00F6193E" w:rsidP="0005094B">
            <w:pPr>
              <w:jc w:val="both"/>
            </w:pPr>
            <w:r w:rsidRPr="00F6193E">
              <w:t xml:space="preserve">The witnesses were comprised of scientists. Fletcher (2017) reports that they were selected to ‘assure participants that they were hearing all sides of the argument.’ In addition, panellists could have selected outside experts to give testimony. Unfortunately, there is not more detail on their background, how many took part, or how they were selected. We do know that evidence was presented through expert presentations, expert testimony, Q&amp;A, and facilitated discussion with the audience (Fletcher 2017). </w:t>
            </w:r>
          </w:p>
          <w:p w:rsidR="00F6193E" w:rsidRPr="00F6193E" w:rsidRDefault="00F6193E" w:rsidP="0005094B">
            <w:pPr>
              <w:jc w:val="both"/>
              <w:rPr>
                <w:b/>
              </w:rPr>
            </w:pPr>
          </w:p>
          <w:p w:rsidR="00F6193E" w:rsidRPr="00F6193E" w:rsidRDefault="00F6193E" w:rsidP="0005094B">
            <w:pPr>
              <w:jc w:val="both"/>
              <w:rPr>
                <w:b/>
              </w:rPr>
            </w:pPr>
            <w:r w:rsidRPr="00F6193E">
              <w:rPr>
                <w:b/>
              </w:rPr>
              <w:t xml:space="preserve">Use of Evidence </w:t>
            </w:r>
          </w:p>
          <w:p w:rsidR="00F6193E" w:rsidRPr="00F6193E" w:rsidRDefault="00F6193E" w:rsidP="0005094B">
            <w:pPr>
              <w:jc w:val="both"/>
            </w:pPr>
            <w:r w:rsidRPr="00F6193E">
              <w:t xml:space="preserve">Evidence was presented through expert presentations and facilitated Q&amp;As sessions. The structure of each involved: </w:t>
            </w:r>
          </w:p>
          <w:p w:rsidR="00F6193E" w:rsidRPr="00F6193E" w:rsidRDefault="00F6193E" w:rsidP="00F6193E">
            <w:pPr>
              <w:pStyle w:val="ListParagraph"/>
              <w:numPr>
                <w:ilvl w:val="0"/>
                <w:numId w:val="27"/>
              </w:numPr>
              <w:jc w:val="both"/>
              <w:rPr>
                <w:rFonts w:eastAsia="Times New Roman" w:cs="Calibri"/>
                <w:color w:val="000000"/>
                <w:lang w:eastAsia="en-GB"/>
              </w:rPr>
            </w:pPr>
            <w:r w:rsidRPr="00F6193E">
              <w:rPr>
                <w:rFonts w:eastAsia="Times New Roman" w:cs="Calibri"/>
                <w:color w:val="000000"/>
                <w:lang w:eastAsia="en-GB"/>
              </w:rPr>
              <w:t xml:space="preserve">Day 1: After participants had been given an opportunity to get to know each other and were provided with an outline of the schedule, they listened to an introductory presentation on osteoarthritis, were given an overview of the GAMBA research project, put their questions to the speakers and discussed the issues with them. </w:t>
            </w:r>
          </w:p>
          <w:p w:rsidR="00F6193E" w:rsidRPr="00F6193E" w:rsidRDefault="00F6193E" w:rsidP="00F6193E">
            <w:pPr>
              <w:pStyle w:val="ListParagraph"/>
              <w:numPr>
                <w:ilvl w:val="0"/>
                <w:numId w:val="27"/>
              </w:numPr>
              <w:jc w:val="both"/>
              <w:rPr>
                <w:rFonts w:eastAsia="Times New Roman" w:cs="Calibri"/>
                <w:color w:val="000000"/>
                <w:lang w:eastAsia="en-GB"/>
              </w:rPr>
            </w:pPr>
            <w:r w:rsidRPr="00F6193E">
              <w:rPr>
                <w:rFonts w:eastAsia="Times New Roman" w:cs="Calibri"/>
                <w:color w:val="000000"/>
                <w:lang w:eastAsia="en-GB"/>
              </w:rPr>
              <w:t xml:space="preserve">Day 2: On the second day, participants considered GAMBA in depth. The lay participants also listened to presentations on the possible risks related to the GAMBA field of research and on the ethical aspects. The session concluded with participants selecting experts for a hearing on the second weekend. </w:t>
            </w:r>
          </w:p>
          <w:p w:rsidR="00F6193E" w:rsidRPr="00F6193E" w:rsidRDefault="00F6193E" w:rsidP="00F6193E">
            <w:pPr>
              <w:pStyle w:val="ListParagraph"/>
              <w:numPr>
                <w:ilvl w:val="0"/>
                <w:numId w:val="27"/>
              </w:numPr>
              <w:jc w:val="both"/>
              <w:rPr>
                <w:rFonts w:eastAsia="Times New Roman" w:cs="Calibri"/>
                <w:color w:val="000000"/>
                <w:lang w:eastAsia="en-GB"/>
              </w:rPr>
            </w:pPr>
            <w:r w:rsidRPr="00F6193E">
              <w:rPr>
                <w:rFonts w:eastAsia="Times New Roman" w:cs="Calibri"/>
                <w:color w:val="000000"/>
                <w:lang w:eastAsia="en-GB"/>
              </w:rPr>
              <w:lastRenderedPageBreak/>
              <w:t>Day 3: On the third day, those participants who had prepared an ‘ambassadorship’ presented or discussed their results with their fellow panellists. Then the hearing with the experts selected by the participants took place.</w:t>
            </w:r>
          </w:p>
          <w:p w:rsidR="00F6193E" w:rsidRPr="00F6193E" w:rsidRDefault="00F6193E" w:rsidP="00F6193E">
            <w:pPr>
              <w:pStyle w:val="ListParagraph"/>
              <w:numPr>
                <w:ilvl w:val="0"/>
                <w:numId w:val="27"/>
              </w:numPr>
              <w:jc w:val="both"/>
              <w:rPr>
                <w:rFonts w:eastAsia="Times New Roman" w:cs="Calibri"/>
                <w:color w:val="000000"/>
                <w:lang w:eastAsia="en-GB"/>
              </w:rPr>
            </w:pPr>
            <w:r w:rsidRPr="00F6193E">
              <w:rPr>
                <w:rFonts w:eastAsia="Times New Roman" w:cs="Calibri"/>
                <w:color w:val="000000"/>
                <w:lang w:eastAsia="en-GB"/>
              </w:rPr>
              <w:t xml:space="preserve">Day 4: The fourth and last day was used for an in-depth discussion and for the assessment of the GAMBA field of research. </w:t>
            </w:r>
          </w:p>
          <w:p w:rsidR="00F6193E" w:rsidRPr="00F6193E" w:rsidRDefault="00F6193E" w:rsidP="0005094B">
            <w:pPr>
              <w:jc w:val="both"/>
              <w:rPr>
                <w:rFonts w:eastAsia="Times New Roman" w:cs="Calibri"/>
                <w:color w:val="000000"/>
                <w:lang w:eastAsia="en-GB"/>
              </w:rPr>
            </w:pPr>
          </w:p>
          <w:p w:rsidR="00F6193E" w:rsidRPr="00F6193E" w:rsidRDefault="00F6193E" w:rsidP="0005094B">
            <w:pPr>
              <w:jc w:val="both"/>
              <w:rPr>
                <w:rFonts w:eastAsia="Times New Roman" w:cs="Times New Roman"/>
              </w:rPr>
            </w:pPr>
            <w:r w:rsidRPr="00F6193E">
              <w:rPr>
                <w:rFonts w:eastAsia="Times New Roman" w:cs="Times New Roman"/>
              </w:rPr>
              <w:t xml:space="preserve">The citizens’ jury focussed heavily on ‘empowering’ participants in the topic (European Commission 2014). The organisers adopted four approaches to helping foster this empowerment. The first was to ensure that a balanced view was provided in the witness presentations. The project organisers selected the experts to present, and the panellists then selected additional outside experts to provide ‘testimony’, to help assure participants that they were hearing all sides of the argument. The second approach they used was to ensure the participant discussions were effectively facilitated. To do this, independent facilitators were used to aid the deliberation. The third approach was deployed on the second day, and this was to enable the participants to select the experts from the presenters they had heard from on days 1 and 2 to present at the second weekend. The fourth tactic was to enable participants to become ‘ambassadors’, adopting an issue to pursue on behalf of the panel, these ambassadors presented their results on the third day, alongside hearing from the experts the participants had selected. </w:t>
            </w:r>
          </w:p>
          <w:p w:rsidR="00F6193E" w:rsidRPr="00F6193E" w:rsidRDefault="00F6193E" w:rsidP="0005094B">
            <w:pPr>
              <w:jc w:val="both"/>
              <w:rPr>
                <w:rFonts w:eastAsia="Times New Roman" w:cs="Times New Roman"/>
              </w:rPr>
            </w:pPr>
          </w:p>
          <w:p w:rsidR="00F6193E" w:rsidRPr="00F6193E" w:rsidRDefault="00F6193E" w:rsidP="0005094B">
            <w:pPr>
              <w:jc w:val="both"/>
              <w:rPr>
                <w:rFonts w:eastAsia="Times New Roman" w:cs="Times New Roman"/>
                <w:b/>
              </w:rPr>
            </w:pPr>
            <w:r w:rsidRPr="00F6193E">
              <w:rPr>
                <w:rFonts w:eastAsia="Times New Roman" w:cs="Times New Roman"/>
                <w:b/>
              </w:rPr>
              <w:t>Merits Further Research</w:t>
            </w:r>
          </w:p>
          <w:p w:rsidR="00F6193E" w:rsidRPr="00F6193E" w:rsidRDefault="00F6193E" w:rsidP="0005094B">
            <w:pPr>
              <w:jc w:val="both"/>
            </w:pPr>
            <w:r w:rsidRPr="00F6193E">
              <w:t>The Citizens’ Jury on arthritis could warrant further exploration to help understand in greater depth how the tactics used in the activities and the blurring of boundaries of participants and experts – such as by using “ambassadors” (detailed below) - helped shaped the influence of evidence on participants, and the influence on policy and practice (European Commission 2014).</w:t>
            </w:r>
          </w:p>
          <w:p w:rsidR="00F6193E" w:rsidRPr="00F6193E" w:rsidRDefault="00F6193E" w:rsidP="0005094B">
            <w:pPr>
              <w:jc w:val="both"/>
              <w:rPr>
                <w:rFonts w:eastAsia="Times New Roman" w:cs="Times New Roman"/>
              </w:rPr>
            </w:pPr>
          </w:p>
          <w:p w:rsidR="00F6193E" w:rsidRPr="00F6193E" w:rsidRDefault="00F6193E" w:rsidP="0005094B">
            <w:pPr>
              <w:jc w:val="both"/>
              <w:rPr>
                <w:rFonts w:eastAsia="Times New Roman" w:cs="Times New Roman"/>
              </w:rPr>
            </w:pPr>
            <w:r w:rsidRPr="00F6193E">
              <w:rPr>
                <w:rFonts w:eastAsia="Times New Roman" w:cs="Times New Roman"/>
              </w:rPr>
              <w:t xml:space="preserve">Because of these four tactics, the evidence had an impact on the participants. The European Commission (2014) research concluded that this led to ‘methodical empowerment of participants’, and cited the facilitators as particular important, helping ‘empower the self-confidence and the assessment skills of the participants, allowing a discussion between laypersons and experts’. </w:t>
            </w:r>
          </w:p>
          <w:p w:rsidR="00F6193E" w:rsidRPr="00F6193E" w:rsidRDefault="00F6193E" w:rsidP="0005094B">
            <w:pPr>
              <w:jc w:val="both"/>
              <w:rPr>
                <w:b/>
              </w:rPr>
            </w:pPr>
          </w:p>
          <w:p w:rsidR="00F6193E" w:rsidRPr="00F6193E" w:rsidRDefault="00F6193E" w:rsidP="0005094B">
            <w:pPr>
              <w:jc w:val="both"/>
              <w:rPr>
                <w:rFonts w:eastAsia="Times New Roman" w:cs="Times New Roman"/>
              </w:rPr>
            </w:pPr>
            <w:r w:rsidRPr="00F6193E">
              <w:t xml:space="preserve">The panel’s conclusions were compiled into a report for public distribution. Fletcher (2017) states that this report offers a ‘balanced, professionally developed and scientifically sound summary of the risks and ethical aspects of innovative osteoarthritis treatments. The audience of the report includes clinics, interested companies, medical professionals as well as the media and the broader public.’ It is not clear what impact this report had on practice. </w:t>
            </w:r>
          </w:p>
          <w:p w:rsidR="00F6193E" w:rsidRPr="00F6193E" w:rsidRDefault="00F6193E" w:rsidP="0005094B">
            <w:pPr>
              <w:jc w:val="both"/>
            </w:pPr>
          </w:p>
          <w:p w:rsidR="00F6193E" w:rsidRPr="00F6193E" w:rsidRDefault="00F6193E" w:rsidP="0005094B">
            <w:pPr>
              <w:jc w:val="both"/>
            </w:pPr>
            <w:r w:rsidRPr="00F6193E">
              <w:t xml:space="preserve">However, because of the GAMBA project, several outputs were created. Because of the Citizens’ Jury, 20 papers were published in scientific journals, nine masters and PhD theses were completed by students working on the project, partners attended international meetings, and education material was prepared (Fletcher 2017). However, this activity is comprised of outputs, and do not necessarily indicate impact on social policy and practice. </w:t>
            </w:r>
          </w:p>
          <w:p w:rsidR="00F6193E" w:rsidRDefault="00F6193E" w:rsidP="0005094B"/>
        </w:tc>
      </w:tr>
    </w:tbl>
    <w:p w:rsidR="00893415" w:rsidRPr="00A400D3" w:rsidRDefault="00893415" w:rsidP="00893415">
      <w:pPr>
        <w:jc w:val="both"/>
        <w:rPr>
          <w:sz w:val="24"/>
          <w:szCs w:val="24"/>
        </w:rPr>
      </w:pPr>
    </w:p>
    <w:bookmarkEnd w:id="5"/>
    <w:p w:rsidR="00237EB1" w:rsidRPr="00237EB1" w:rsidRDefault="00F6193E" w:rsidP="00237EB1">
      <w:pPr>
        <w:jc w:val="both"/>
        <w:rPr>
          <w:sz w:val="24"/>
          <w:szCs w:val="24"/>
        </w:rPr>
      </w:pPr>
      <w:r>
        <w:rPr>
          <w:noProof/>
          <w:lang w:eastAsia="en-GB"/>
        </w:rPr>
        <w:lastRenderedPageBreak/>
        <mc:AlternateContent>
          <mc:Choice Requires="wps">
            <w:drawing>
              <wp:anchor distT="45720" distB="45720" distL="114300" distR="114300" simplePos="0" relativeHeight="251667456" behindDoc="0" locked="0" layoutInCell="1" allowOverlap="1" wp14:anchorId="4D204EC9" wp14:editId="6B7B44E4">
                <wp:simplePos x="0" y="0"/>
                <wp:positionH relativeFrom="margin">
                  <wp:posOffset>-28575</wp:posOffset>
                </wp:positionH>
                <wp:positionV relativeFrom="paragraph">
                  <wp:posOffset>200025</wp:posOffset>
                </wp:positionV>
                <wp:extent cx="6153150" cy="6115050"/>
                <wp:effectExtent l="0" t="0" r="19050"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0" cy="6115050"/>
                        </a:xfrm>
                        <a:prstGeom prst="rect">
                          <a:avLst/>
                        </a:prstGeom>
                        <a:solidFill>
                          <a:schemeClr val="accent1">
                            <a:lumMod val="40000"/>
                            <a:lumOff val="60000"/>
                          </a:schemeClr>
                        </a:solidFill>
                        <a:ln>
                          <a:headEnd/>
                          <a:tailEnd/>
                        </a:ln>
                      </wps:spPr>
                      <wps:style>
                        <a:lnRef idx="1">
                          <a:schemeClr val="accent1"/>
                        </a:lnRef>
                        <a:fillRef idx="2">
                          <a:schemeClr val="accent1"/>
                        </a:fillRef>
                        <a:effectRef idx="1">
                          <a:schemeClr val="accent1"/>
                        </a:effectRef>
                        <a:fontRef idx="minor">
                          <a:schemeClr val="dk1"/>
                        </a:fontRef>
                      </wps:style>
                      <wps:txbx>
                        <w:txbxContent>
                          <w:p w:rsidR="0005094B" w:rsidRPr="00F2341B" w:rsidRDefault="0005094B" w:rsidP="00F6193E">
                            <w:pPr>
                              <w:jc w:val="both"/>
                              <w:rPr>
                                <w:b/>
                                <w:sz w:val="24"/>
                                <w:szCs w:val="24"/>
                              </w:rPr>
                            </w:pPr>
                            <w:r>
                              <w:rPr>
                                <w:b/>
                                <w:sz w:val="24"/>
                                <w:szCs w:val="24"/>
                              </w:rPr>
                              <w:t>Citizens’ Jury on</w:t>
                            </w:r>
                            <w:r w:rsidRPr="00F2341B">
                              <w:rPr>
                                <w:b/>
                                <w:sz w:val="24"/>
                                <w:szCs w:val="24"/>
                              </w:rPr>
                              <w:t xml:space="preserve"> </w:t>
                            </w:r>
                            <w:r>
                              <w:rPr>
                                <w:b/>
                                <w:sz w:val="24"/>
                                <w:szCs w:val="24"/>
                              </w:rPr>
                              <w:t>Land use in the Netherlands, 2007</w:t>
                            </w:r>
                          </w:p>
                          <w:p w:rsidR="0005094B" w:rsidRDefault="0005094B" w:rsidP="00F6193E">
                            <w:pPr>
                              <w:jc w:val="both"/>
                              <w:rPr>
                                <w:b/>
                              </w:rPr>
                            </w:pPr>
                            <w:r>
                              <w:rPr>
                                <w:b/>
                              </w:rPr>
                              <w:t>Background</w:t>
                            </w:r>
                          </w:p>
                          <w:p w:rsidR="0005094B" w:rsidRDefault="0005094B" w:rsidP="00F6193E">
                            <w:pPr>
                              <w:jc w:val="both"/>
                            </w:pPr>
                            <w:r>
                              <w:t>A citizens Jury of around 40 citizens was held in Flevoland in 2007 to help determine land-use policies in the region, for example the ways public transport could be improved between cities in the region through the construction of a rail line (case no.37). The process lasted seven months, and included three separate mini-public events of 12-14 participants from the wider regional area. There was some concern over the low reply-rate to invitations to the mini-public (6%), when focusing on the selection of participants.</w:t>
                            </w:r>
                          </w:p>
                          <w:p w:rsidR="0005094B" w:rsidRDefault="0005094B" w:rsidP="00F6193E">
                            <w:pPr>
                              <w:jc w:val="both"/>
                              <w:rPr>
                                <w:b/>
                              </w:rPr>
                            </w:pPr>
                            <w:r>
                              <w:rPr>
                                <w:b/>
                              </w:rPr>
                              <w:t xml:space="preserve">Use of Witnesses </w:t>
                            </w:r>
                          </w:p>
                          <w:p w:rsidR="0005094B" w:rsidRPr="00871B93" w:rsidRDefault="0005094B" w:rsidP="00F6193E">
                            <w:pPr>
                              <w:jc w:val="both"/>
                            </w:pPr>
                            <w:r>
                              <w:t>It is not clear how many expert witnesses took part in the mini-public. What is clear is that jurors had a large role in selecting expert witnesses. Expert witnesses where invited by organisers through organisations. Organisers asked relevant organisations to send a representative with appropriate communication skills, and who would be open to questioning, to be witnesses (</w:t>
                            </w:r>
                            <w:proofErr w:type="spellStart"/>
                            <w:r>
                              <w:t>Huitema</w:t>
                            </w:r>
                            <w:proofErr w:type="spellEnd"/>
                            <w:r>
                              <w:t xml:space="preserve"> et al 2007: 302). Participants were also sent briefing materials, in the form of a reading list of publications and some background material that was screened by the organisers for factuality and neutrality. There is no indication that this affected participants’ views, and there was an indication that participants’ own pre-existing expertise was the most important factor. For example, the authors noted: ‘</w:t>
                            </w:r>
                            <w:r w:rsidRPr="003D2C38">
                              <w:t>stark differences among jury members in their capacities to understand issues, to ask questions, and to engage with other jurors. Our impression—it is no more than such at this time—was that these capacities were largely associated with previous participation in public decision-making’</w:t>
                            </w:r>
                            <w:r>
                              <w:rPr>
                                <w:i/>
                              </w:rPr>
                              <w:t xml:space="preserve"> </w:t>
                            </w:r>
                            <w:r>
                              <w:t>(</w:t>
                            </w:r>
                            <w:proofErr w:type="spellStart"/>
                            <w:r>
                              <w:t>Huitema</w:t>
                            </w:r>
                            <w:proofErr w:type="spellEnd"/>
                            <w:r>
                              <w:t xml:space="preserve"> et al. 2007 p. 304).</w:t>
                            </w:r>
                            <w:r w:rsidRPr="00024A0A">
                              <w:rPr>
                                <w:i/>
                              </w:rPr>
                              <w:t xml:space="preserve"> </w:t>
                            </w:r>
                          </w:p>
                          <w:p w:rsidR="0005094B" w:rsidRDefault="0005094B" w:rsidP="00F6193E">
                            <w:pPr>
                              <w:jc w:val="both"/>
                              <w:rPr>
                                <w:b/>
                              </w:rPr>
                            </w:pPr>
                            <w:r>
                              <w:rPr>
                                <w:b/>
                              </w:rPr>
                              <w:t xml:space="preserve">Overview of Evidence </w:t>
                            </w:r>
                          </w:p>
                          <w:p w:rsidR="0005094B" w:rsidRDefault="0005094B" w:rsidP="00F6193E">
                            <w:pPr>
                              <w:jc w:val="both"/>
                            </w:pPr>
                            <w:r>
                              <w:t>Presentation of evidence was in a Q&amp;A format where participants could ask question at the end of each presentation.  There was a moderate amount of influence on the participants during the process: ‘</w:t>
                            </w:r>
                            <w:r w:rsidRPr="003D2C38">
                              <w:t>They also felt that the witnesses’ presentations had increased their ability to make informed judgments and formulate recommendations</w:t>
                            </w:r>
                            <w:r>
                              <w:t>’</w:t>
                            </w:r>
                            <w:r>
                              <w:rPr>
                                <w:i/>
                              </w:rPr>
                              <w:t xml:space="preserve"> </w:t>
                            </w:r>
                            <w:r>
                              <w:t>(</w:t>
                            </w:r>
                            <w:proofErr w:type="spellStart"/>
                            <w:r>
                              <w:t>Huitema</w:t>
                            </w:r>
                            <w:proofErr w:type="spellEnd"/>
                            <w:r>
                              <w:t xml:space="preserve"> et al. 2007: 303). As this jury was commissioned by the provisional parliament, which is the level of governance that produces a legally required plan, the</w:t>
                            </w:r>
                            <w:r w:rsidRPr="005F45A3">
                              <w:t xml:space="preserve"> recommendations fed in to the regional land-use planning process</w:t>
                            </w:r>
                            <w:r>
                              <w:t xml:space="preserve"> (</w:t>
                            </w:r>
                            <w:proofErr w:type="spellStart"/>
                            <w:r>
                              <w:t>Huitema</w:t>
                            </w:r>
                            <w:proofErr w:type="spellEnd"/>
                            <w:r>
                              <w:t xml:space="preserve"> et al 2007: 297). However, there is no clear explanation on what the outputs of the process were and how, if at all, they affected the eventual policy outcomes.</w:t>
                            </w:r>
                          </w:p>
                          <w:p w:rsidR="0005094B" w:rsidRPr="00B86093" w:rsidRDefault="0005094B" w:rsidP="00F6193E">
                            <w:pPr>
                              <w:jc w:val="both"/>
                              <w:rPr>
                                <w:b/>
                              </w:rPr>
                            </w:pPr>
                            <w:r w:rsidRPr="00B86093">
                              <w:rPr>
                                <w:b/>
                              </w:rPr>
                              <w:t>Merits Further Research</w:t>
                            </w:r>
                          </w:p>
                          <w:p w:rsidR="0005094B" w:rsidRPr="00871B93" w:rsidRDefault="0005094B" w:rsidP="00F6193E">
                            <w:pPr>
                              <w:jc w:val="both"/>
                            </w:pPr>
                            <w:r>
                              <w:t xml:space="preserve">The Citizens’ Jury on land-use warrants further investigation into its connection to the policy process. </w:t>
                            </w:r>
                            <w:proofErr w:type="spellStart"/>
                            <w:r>
                              <w:t>Huitema</w:t>
                            </w:r>
                            <w:proofErr w:type="spellEnd"/>
                            <w:r>
                              <w:t xml:space="preserve"> et al. (2007) describe how the jury was commissioned by local authority officials, but do not outline how this process of transmission between the two arenas took place. </w:t>
                            </w:r>
                          </w:p>
                          <w:p w:rsidR="0005094B" w:rsidRPr="00780D0F" w:rsidRDefault="0005094B" w:rsidP="00F6193E">
                            <w:pPr>
                              <w:jc w:val="both"/>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204EC9" id="_x0000_s1029" type="#_x0000_t202" style="position:absolute;left:0;text-align:left;margin-left:-2.25pt;margin-top:15.75pt;width:484.5pt;height:481.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" fillcolor="#abd9f8 [1300]" strokecolor="#0d649e [1924]">
                <v:textbox>
                  <w:txbxContent>
                    <w:p w:rsidR="0005094B" w:rsidRPr="00F2341B" w:rsidRDefault="0005094B" w:rsidP="00F6193E">
                      <w:pPr>
                        <w:jc w:val="both"/>
                        <w:rPr>
                          <w:b/>
                          <w:sz w:val="24"/>
                          <w:szCs w:val="24"/>
                        </w:rPr>
                      </w:pPr>
                      <w:r>
                        <w:rPr>
                          <w:b/>
                          <w:sz w:val="24"/>
                          <w:szCs w:val="24"/>
                        </w:rPr>
                        <w:t>Citizens’ Jury on</w:t>
                      </w:r>
                      <w:r w:rsidRPr="00F2341B">
                        <w:rPr>
                          <w:b/>
                          <w:sz w:val="24"/>
                          <w:szCs w:val="24"/>
                        </w:rPr>
                        <w:t xml:space="preserve"> </w:t>
                      </w:r>
                      <w:r>
                        <w:rPr>
                          <w:b/>
                          <w:sz w:val="24"/>
                          <w:szCs w:val="24"/>
                        </w:rPr>
                        <w:t>Land use in the Netherlands, 2007</w:t>
                      </w:r>
                    </w:p>
                    <w:p w:rsidR="0005094B" w:rsidRDefault="0005094B" w:rsidP="00F6193E">
                      <w:pPr>
                        <w:jc w:val="both"/>
                        <w:rPr>
                          <w:b/>
                        </w:rPr>
                      </w:pPr>
                      <w:r>
                        <w:rPr>
                          <w:b/>
                        </w:rPr>
                        <w:t>Background</w:t>
                      </w:r>
                    </w:p>
                    <w:p w:rsidR="0005094B" w:rsidRDefault="0005094B" w:rsidP="00F6193E">
                      <w:pPr>
                        <w:jc w:val="both"/>
                      </w:pPr>
                      <w:r>
                        <w:t>A citizens Jury of around 40 citizens was held in Flevoland in 2007 to help determine land-use policies in the region, for example the ways public transport could be improved between cities in the region through the construction of a rail line (case no.37). The process lasted seven months, and included three separate mini-public events of 12-14 participants from the wider regional area. There was some concern over the low reply-rate to invitations to the mini-public (6%), when focusing on the selection of participants.</w:t>
                      </w:r>
                    </w:p>
                    <w:p w:rsidR="0005094B" w:rsidRDefault="0005094B" w:rsidP="00F6193E">
                      <w:pPr>
                        <w:jc w:val="both"/>
                        <w:rPr>
                          <w:b/>
                        </w:rPr>
                      </w:pPr>
                      <w:r>
                        <w:rPr>
                          <w:b/>
                        </w:rPr>
                        <w:t xml:space="preserve">Use of Witnesses </w:t>
                      </w:r>
                    </w:p>
                    <w:p w:rsidR="0005094B" w:rsidRPr="00871B93" w:rsidRDefault="0005094B" w:rsidP="00F6193E">
                      <w:pPr>
                        <w:jc w:val="both"/>
                      </w:pPr>
                      <w:r>
                        <w:t>It is not clear how many expert witnesses took part in the mini-public. What is clear is that jurors had a large role in selecting expert witnesses. Expert witnesses where invited by organisers through organisations. Organisers asked relevant organisations to send a representative with appropriate communication skills, and who would be open to questioning, to be witnesses (</w:t>
                      </w:r>
                      <w:proofErr w:type="spellStart"/>
                      <w:r>
                        <w:t>Huitema</w:t>
                      </w:r>
                      <w:proofErr w:type="spellEnd"/>
                      <w:r>
                        <w:t xml:space="preserve"> et al 2007: 302). Participants were also sent briefing materials, in the form of a reading list of publications and some background material that was screened by the organisers for factuality and neutrality. There is no indication that this affected participants’ views, and there was an indication that participants’ own pre-existing expertise was the most important factor. For example, the authors noted: ‘</w:t>
                      </w:r>
                      <w:r w:rsidRPr="003D2C38">
                        <w:t>stark differences among jury members in their capacities to understand issues, to ask questions, and to engage with other jurors. Our impression—it is no more than such at this time—was that these capacities were largely associated with previous participation in public decision-making’</w:t>
                      </w:r>
                      <w:r>
                        <w:rPr>
                          <w:i/>
                        </w:rPr>
                        <w:t xml:space="preserve"> </w:t>
                      </w:r>
                      <w:r>
                        <w:t>(</w:t>
                      </w:r>
                      <w:proofErr w:type="spellStart"/>
                      <w:r>
                        <w:t>Huitema</w:t>
                      </w:r>
                      <w:proofErr w:type="spellEnd"/>
                      <w:r>
                        <w:t xml:space="preserve"> et al. 2007 p. 304).</w:t>
                      </w:r>
                      <w:r w:rsidRPr="00024A0A">
                        <w:rPr>
                          <w:i/>
                        </w:rPr>
                        <w:t xml:space="preserve"> </w:t>
                      </w:r>
                    </w:p>
                    <w:p w:rsidR="0005094B" w:rsidRDefault="0005094B" w:rsidP="00F6193E">
                      <w:pPr>
                        <w:jc w:val="both"/>
                        <w:rPr>
                          <w:b/>
                        </w:rPr>
                      </w:pPr>
                      <w:r>
                        <w:rPr>
                          <w:b/>
                        </w:rPr>
                        <w:t xml:space="preserve">Overview of Evidence </w:t>
                      </w:r>
                    </w:p>
                    <w:p w:rsidR="0005094B" w:rsidRDefault="0005094B" w:rsidP="00F6193E">
                      <w:pPr>
                        <w:jc w:val="both"/>
                      </w:pPr>
                      <w:r>
                        <w:t>Presentation of evidence was in a Q&amp;A format where participants could ask question at the end of each presentation.  There was a moderate amount of influence on the participants during the process: ‘</w:t>
                      </w:r>
                      <w:r w:rsidRPr="003D2C38">
                        <w:t>They also felt that the witnesses’ presentations had increased their ability to make informed judgments and formulate recommendations</w:t>
                      </w:r>
                      <w:r>
                        <w:t>’</w:t>
                      </w:r>
                      <w:r>
                        <w:rPr>
                          <w:i/>
                        </w:rPr>
                        <w:t xml:space="preserve"> </w:t>
                      </w:r>
                      <w:r>
                        <w:t>(</w:t>
                      </w:r>
                      <w:proofErr w:type="spellStart"/>
                      <w:r>
                        <w:t>Huitema</w:t>
                      </w:r>
                      <w:proofErr w:type="spellEnd"/>
                      <w:r>
                        <w:t xml:space="preserve"> et al. 2007: 303). As this jury was commissioned by the provisional parliament, which is the level of governance that produces a legally required plan, the</w:t>
                      </w:r>
                      <w:r w:rsidRPr="005F45A3">
                        <w:t xml:space="preserve"> recommendations fed in to the regional land-use planning process</w:t>
                      </w:r>
                      <w:r>
                        <w:t xml:space="preserve"> (</w:t>
                      </w:r>
                      <w:proofErr w:type="spellStart"/>
                      <w:r>
                        <w:t>Huitema</w:t>
                      </w:r>
                      <w:proofErr w:type="spellEnd"/>
                      <w:r>
                        <w:t xml:space="preserve"> et al 2007: 297). However, there is no clear explanation on what the outputs of the process were and how, if at all, they affected the eventual policy outcomes.</w:t>
                      </w:r>
                    </w:p>
                    <w:p w:rsidR="0005094B" w:rsidRPr="00B86093" w:rsidRDefault="0005094B" w:rsidP="00F6193E">
                      <w:pPr>
                        <w:jc w:val="both"/>
                        <w:rPr>
                          <w:b/>
                        </w:rPr>
                      </w:pPr>
                      <w:r w:rsidRPr="00B86093">
                        <w:rPr>
                          <w:b/>
                        </w:rPr>
                        <w:t>Merits Further Research</w:t>
                      </w:r>
                    </w:p>
                    <w:p w:rsidR="0005094B" w:rsidRPr="00871B93" w:rsidRDefault="0005094B" w:rsidP="00F6193E">
                      <w:pPr>
                        <w:jc w:val="both"/>
                      </w:pPr>
                      <w:r>
                        <w:t xml:space="preserve">The Citizens’ Jury on land-use warrants further investigation into its connection to the policy process. </w:t>
                      </w:r>
                      <w:proofErr w:type="spellStart"/>
                      <w:r>
                        <w:t>Huitema</w:t>
                      </w:r>
                      <w:proofErr w:type="spellEnd"/>
                      <w:r>
                        <w:t xml:space="preserve"> et al. (2007) describe how the jury was commissioned by local authority officials, but do not outline how this process of transmission between the two arenas took place. </w:t>
                      </w:r>
                    </w:p>
                    <w:p w:rsidR="0005094B" w:rsidRPr="00780D0F" w:rsidRDefault="0005094B" w:rsidP="00F6193E">
                      <w:pPr>
                        <w:jc w:val="both"/>
                        <w:rPr>
                          <w:b/>
                        </w:rPr>
                      </w:pPr>
                    </w:p>
                  </w:txbxContent>
                </v:textbox>
                <w10:wrap type="square" anchorx="margin"/>
              </v:shape>
            </w:pict>
          </mc:Fallback>
        </mc:AlternateContent>
      </w:r>
    </w:p>
    <w:p w:rsidR="009116FA" w:rsidRDefault="009116FA" w:rsidP="009116FA">
      <w:pPr>
        <w:ind w:left="720"/>
        <w:jc w:val="both"/>
        <w:rPr>
          <w:b/>
          <w:i/>
          <w:color w:val="0B5484" w:themeColor="accent1" w:themeShade="80"/>
          <w:sz w:val="24"/>
          <w:szCs w:val="24"/>
        </w:rPr>
      </w:pPr>
    </w:p>
    <w:p w:rsidR="009116FA" w:rsidRDefault="009116FA" w:rsidP="009116FA">
      <w:pPr>
        <w:ind w:left="720"/>
        <w:jc w:val="both"/>
        <w:rPr>
          <w:b/>
          <w:i/>
          <w:color w:val="0B5484" w:themeColor="accent1" w:themeShade="80"/>
          <w:sz w:val="24"/>
          <w:szCs w:val="24"/>
        </w:rPr>
      </w:pPr>
    </w:p>
    <w:p w:rsidR="009116FA" w:rsidRDefault="009116FA" w:rsidP="009116FA">
      <w:pPr>
        <w:ind w:left="720"/>
        <w:jc w:val="both"/>
        <w:rPr>
          <w:b/>
          <w:i/>
          <w:color w:val="0B5484" w:themeColor="accent1" w:themeShade="80"/>
          <w:sz w:val="24"/>
          <w:szCs w:val="24"/>
        </w:rPr>
      </w:pPr>
    </w:p>
    <w:p w:rsidR="009116FA" w:rsidRDefault="009116FA" w:rsidP="009116FA">
      <w:pPr>
        <w:ind w:left="720"/>
        <w:jc w:val="both"/>
        <w:rPr>
          <w:b/>
          <w:i/>
          <w:color w:val="0B5484" w:themeColor="accent1" w:themeShade="80"/>
          <w:sz w:val="24"/>
          <w:szCs w:val="24"/>
        </w:rPr>
      </w:pPr>
    </w:p>
    <w:p w:rsidR="009116FA" w:rsidRDefault="009116FA" w:rsidP="009116FA">
      <w:pPr>
        <w:ind w:left="720"/>
        <w:jc w:val="both"/>
        <w:rPr>
          <w:b/>
          <w:i/>
          <w:color w:val="0B5484" w:themeColor="accent1" w:themeShade="80"/>
          <w:sz w:val="24"/>
          <w:szCs w:val="24"/>
        </w:rPr>
      </w:pPr>
    </w:p>
    <w:p w:rsidR="009116FA" w:rsidRDefault="009116FA" w:rsidP="009116FA">
      <w:pPr>
        <w:ind w:left="720"/>
        <w:jc w:val="both"/>
        <w:rPr>
          <w:b/>
          <w:i/>
          <w:color w:val="0B5484" w:themeColor="accent1" w:themeShade="80"/>
          <w:sz w:val="24"/>
          <w:szCs w:val="24"/>
        </w:rPr>
      </w:pPr>
    </w:p>
    <w:p w:rsidR="009116FA" w:rsidRDefault="009116FA" w:rsidP="009116FA">
      <w:pPr>
        <w:ind w:left="720"/>
        <w:jc w:val="both"/>
        <w:rPr>
          <w:b/>
          <w:i/>
          <w:color w:val="0B5484" w:themeColor="accent1" w:themeShade="80"/>
          <w:sz w:val="24"/>
          <w:szCs w:val="24"/>
        </w:rPr>
      </w:pPr>
    </w:p>
    <w:p w:rsidR="009116FA" w:rsidRDefault="009116FA" w:rsidP="009116FA">
      <w:pPr>
        <w:ind w:left="720"/>
        <w:jc w:val="both"/>
        <w:rPr>
          <w:b/>
          <w:i/>
          <w:color w:val="0B5484" w:themeColor="accent1" w:themeShade="80"/>
          <w:sz w:val="24"/>
          <w:szCs w:val="24"/>
        </w:rPr>
      </w:pPr>
    </w:p>
    <w:p w:rsidR="009116FA" w:rsidRDefault="009116FA" w:rsidP="009116FA">
      <w:pPr>
        <w:ind w:left="720"/>
        <w:jc w:val="both"/>
        <w:rPr>
          <w:b/>
          <w:i/>
          <w:color w:val="0B5484" w:themeColor="accent1" w:themeShade="80"/>
          <w:sz w:val="24"/>
          <w:szCs w:val="24"/>
        </w:rPr>
      </w:pPr>
    </w:p>
    <w:p w:rsidR="009116FA" w:rsidRPr="009116FA" w:rsidRDefault="009116FA" w:rsidP="009116FA">
      <w:pPr>
        <w:ind w:left="720"/>
        <w:jc w:val="both"/>
        <w:rPr>
          <w:b/>
          <w:color w:val="0B5484" w:themeColor="accent1" w:themeShade="80"/>
          <w:sz w:val="28"/>
          <w:szCs w:val="28"/>
        </w:rPr>
      </w:pPr>
      <w:r>
        <w:rPr>
          <w:b/>
          <w:color w:val="0B5484" w:themeColor="accent1" w:themeShade="80"/>
          <w:sz w:val="28"/>
          <w:szCs w:val="28"/>
        </w:rPr>
        <w:t>The United Kingdom</w:t>
      </w:r>
    </w:p>
    <w:p w:rsidR="009116FA" w:rsidRDefault="009116FA" w:rsidP="009116FA">
      <w:pPr>
        <w:jc w:val="both"/>
        <w:rPr>
          <w:b/>
          <w:color w:val="0B5484" w:themeColor="accent1" w:themeShade="80"/>
          <w:sz w:val="24"/>
          <w:szCs w:val="24"/>
        </w:rPr>
      </w:pPr>
      <w:r>
        <w:rPr>
          <w:b/>
          <w:bCs/>
          <w:color w:val="0B5484" w:themeColor="accent1" w:themeShade="80"/>
          <w:sz w:val="24"/>
          <w:szCs w:val="24"/>
        </w:rPr>
        <w:t xml:space="preserve">Table 15: The </w:t>
      </w:r>
      <w:r>
        <w:rPr>
          <w:b/>
          <w:color w:val="0B5484" w:themeColor="accent1" w:themeShade="80"/>
          <w:sz w:val="24"/>
          <w:szCs w:val="24"/>
        </w:rPr>
        <w:t xml:space="preserve">United Kingdom: </w:t>
      </w:r>
      <w:r w:rsidRPr="00C82A8C">
        <w:rPr>
          <w:b/>
          <w:bCs/>
          <w:color w:val="0B5484" w:themeColor="accent1" w:themeShade="80"/>
          <w:sz w:val="24"/>
          <w:szCs w:val="24"/>
        </w:rPr>
        <w:t xml:space="preserve">Overview of </w:t>
      </w:r>
      <w:r>
        <w:rPr>
          <w:b/>
          <w:color w:val="0B5484" w:themeColor="accent1" w:themeShade="80"/>
          <w:sz w:val="24"/>
          <w:szCs w:val="24"/>
        </w:rPr>
        <w:t>Mini-Public</w:t>
      </w:r>
      <w:r w:rsidRPr="00C82A8C">
        <w:rPr>
          <w:b/>
          <w:color w:val="0B5484" w:themeColor="accent1" w:themeShade="80"/>
          <w:sz w:val="24"/>
          <w:szCs w:val="24"/>
        </w:rPr>
        <w:t xml:space="preserve"> Cases</w:t>
      </w:r>
    </w:p>
    <w:tbl>
      <w:tblPr>
        <w:tblStyle w:val="TableGrid"/>
        <w:tblW w:w="11199" w:type="dxa"/>
        <w:tblInd w:w="-998" w:type="dxa"/>
        <w:tblLook w:val="04A0" w:firstRow="1" w:lastRow="0" w:firstColumn="1" w:lastColumn="0" w:noHBand="0" w:noVBand="1"/>
      </w:tblPr>
      <w:tblGrid>
        <w:gridCol w:w="501"/>
        <w:gridCol w:w="2616"/>
        <w:gridCol w:w="1198"/>
        <w:gridCol w:w="1873"/>
        <w:gridCol w:w="1135"/>
        <w:gridCol w:w="1031"/>
        <w:gridCol w:w="1212"/>
        <w:gridCol w:w="1633"/>
      </w:tblGrid>
      <w:tr w:rsidR="009116FA" w:rsidTr="0005094B">
        <w:tc>
          <w:tcPr>
            <w:tcW w:w="509" w:type="dxa"/>
          </w:tcPr>
          <w:p w:rsidR="009116FA" w:rsidRPr="00C4576A" w:rsidRDefault="009116FA" w:rsidP="0005094B">
            <w:pPr>
              <w:rPr>
                <w:rFonts w:cstheme="minorHAnsi"/>
                <w:b/>
                <w:i/>
                <w:color w:val="0B5484" w:themeColor="accent1" w:themeShade="80"/>
                <w:sz w:val="20"/>
                <w:szCs w:val="20"/>
              </w:rPr>
            </w:pPr>
            <w:r w:rsidRPr="00C4576A">
              <w:rPr>
                <w:rFonts w:cstheme="minorHAnsi"/>
                <w:b/>
                <w:i/>
                <w:color w:val="0B5484" w:themeColor="accent1" w:themeShade="80"/>
                <w:sz w:val="20"/>
                <w:szCs w:val="20"/>
              </w:rPr>
              <w:t>No.</w:t>
            </w:r>
          </w:p>
        </w:tc>
        <w:tc>
          <w:tcPr>
            <w:tcW w:w="3018" w:type="dxa"/>
          </w:tcPr>
          <w:p w:rsidR="009116FA" w:rsidRPr="00C4576A" w:rsidRDefault="009116FA" w:rsidP="0005094B">
            <w:pPr>
              <w:rPr>
                <w:rFonts w:cstheme="minorHAnsi"/>
                <w:b/>
                <w:i/>
                <w:color w:val="0B5484" w:themeColor="accent1" w:themeShade="80"/>
                <w:sz w:val="20"/>
                <w:szCs w:val="20"/>
              </w:rPr>
            </w:pPr>
            <w:r w:rsidRPr="00C4576A">
              <w:rPr>
                <w:rFonts w:cstheme="minorHAnsi"/>
                <w:b/>
                <w:i/>
                <w:color w:val="0B5484" w:themeColor="accent1" w:themeShade="80"/>
                <w:sz w:val="20"/>
                <w:szCs w:val="20"/>
              </w:rPr>
              <w:t>Case</w:t>
            </w:r>
          </w:p>
        </w:tc>
        <w:tc>
          <w:tcPr>
            <w:tcW w:w="946" w:type="dxa"/>
          </w:tcPr>
          <w:p w:rsidR="009116FA" w:rsidRPr="00C4576A" w:rsidRDefault="009116FA" w:rsidP="0005094B">
            <w:pPr>
              <w:rPr>
                <w:rFonts w:cstheme="minorHAnsi"/>
                <w:b/>
                <w:i/>
                <w:color w:val="0B5484" w:themeColor="accent1" w:themeShade="80"/>
                <w:sz w:val="20"/>
                <w:szCs w:val="20"/>
              </w:rPr>
            </w:pPr>
            <w:r w:rsidRPr="00C4576A">
              <w:rPr>
                <w:rFonts w:cstheme="minorHAnsi"/>
                <w:b/>
                <w:i/>
                <w:color w:val="0B5484" w:themeColor="accent1" w:themeShade="80"/>
                <w:sz w:val="20"/>
                <w:szCs w:val="20"/>
              </w:rPr>
              <w:t>Mini-Public</w:t>
            </w:r>
          </w:p>
        </w:tc>
        <w:tc>
          <w:tcPr>
            <w:tcW w:w="2146" w:type="dxa"/>
          </w:tcPr>
          <w:p w:rsidR="009116FA" w:rsidRPr="00C4576A" w:rsidRDefault="009116FA" w:rsidP="0005094B">
            <w:pPr>
              <w:rPr>
                <w:rFonts w:cstheme="minorHAnsi"/>
                <w:b/>
                <w:i/>
                <w:color w:val="0B5484" w:themeColor="accent1" w:themeShade="80"/>
                <w:sz w:val="20"/>
                <w:szCs w:val="20"/>
              </w:rPr>
            </w:pPr>
            <w:r w:rsidRPr="00C4576A">
              <w:rPr>
                <w:rFonts w:cstheme="minorHAnsi"/>
                <w:b/>
                <w:i/>
                <w:color w:val="0B5484" w:themeColor="accent1" w:themeShade="80"/>
                <w:sz w:val="20"/>
                <w:szCs w:val="20"/>
              </w:rPr>
              <w:t>Location</w:t>
            </w:r>
          </w:p>
        </w:tc>
        <w:tc>
          <w:tcPr>
            <w:tcW w:w="688" w:type="dxa"/>
          </w:tcPr>
          <w:p w:rsidR="009116FA" w:rsidRPr="00C4576A" w:rsidRDefault="009116FA" w:rsidP="0005094B">
            <w:pPr>
              <w:rPr>
                <w:rFonts w:cstheme="minorHAnsi"/>
                <w:b/>
                <w:i/>
                <w:color w:val="0B5484" w:themeColor="accent1" w:themeShade="80"/>
                <w:sz w:val="20"/>
                <w:szCs w:val="20"/>
              </w:rPr>
            </w:pPr>
            <w:r w:rsidRPr="00C4576A">
              <w:rPr>
                <w:rFonts w:cstheme="minorHAnsi"/>
                <w:b/>
                <w:i/>
                <w:color w:val="0B5484" w:themeColor="accent1" w:themeShade="80"/>
                <w:sz w:val="20"/>
                <w:szCs w:val="20"/>
              </w:rPr>
              <w:t>Date</w:t>
            </w:r>
          </w:p>
        </w:tc>
        <w:tc>
          <w:tcPr>
            <w:tcW w:w="953" w:type="dxa"/>
          </w:tcPr>
          <w:p w:rsidR="009116FA" w:rsidRPr="00C4576A" w:rsidRDefault="009116FA" w:rsidP="0005094B">
            <w:pPr>
              <w:rPr>
                <w:rFonts w:cstheme="minorHAnsi"/>
                <w:b/>
                <w:i/>
                <w:color w:val="0B5484" w:themeColor="accent1" w:themeShade="80"/>
                <w:sz w:val="20"/>
                <w:szCs w:val="20"/>
              </w:rPr>
            </w:pPr>
            <w:r w:rsidRPr="00C4576A">
              <w:rPr>
                <w:rFonts w:cstheme="minorHAnsi"/>
                <w:b/>
                <w:i/>
                <w:color w:val="0B5484" w:themeColor="accent1" w:themeShade="80"/>
                <w:sz w:val="20"/>
                <w:szCs w:val="20"/>
              </w:rPr>
              <w:t>Duration</w:t>
            </w:r>
          </w:p>
        </w:tc>
        <w:tc>
          <w:tcPr>
            <w:tcW w:w="1238" w:type="dxa"/>
          </w:tcPr>
          <w:p w:rsidR="009116FA" w:rsidRPr="00C4576A" w:rsidRDefault="009116FA" w:rsidP="0005094B">
            <w:pPr>
              <w:rPr>
                <w:rFonts w:cstheme="minorHAnsi"/>
                <w:b/>
                <w:i/>
                <w:color w:val="0B5484" w:themeColor="accent1" w:themeShade="80"/>
                <w:sz w:val="20"/>
                <w:szCs w:val="20"/>
              </w:rPr>
            </w:pPr>
            <w:r w:rsidRPr="00C4576A">
              <w:rPr>
                <w:rFonts w:cstheme="minorHAnsi"/>
                <w:b/>
                <w:i/>
                <w:color w:val="0B5484" w:themeColor="accent1" w:themeShade="80"/>
                <w:sz w:val="20"/>
                <w:szCs w:val="20"/>
              </w:rPr>
              <w:t>No. Participants</w:t>
            </w:r>
          </w:p>
        </w:tc>
        <w:tc>
          <w:tcPr>
            <w:tcW w:w="1701" w:type="dxa"/>
          </w:tcPr>
          <w:p w:rsidR="009116FA" w:rsidRPr="00C4576A" w:rsidRDefault="009116FA" w:rsidP="0005094B">
            <w:pPr>
              <w:rPr>
                <w:rFonts w:cstheme="minorHAnsi"/>
                <w:b/>
                <w:i/>
                <w:color w:val="0B5484" w:themeColor="accent1" w:themeShade="80"/>
                <w:sz w:val="20"/>
                <w:szCs w:val="20"/>
              </w:rPr>
            </w:pPr>
            <w:r w:rsidRPr="00C4576A">
              <w:rPr>
                <w:rFonts w:cstheme="minorHAnsi"/>
                <w:b/>
                <w:i/>
                <w:color w:val="0B5484" w:themeColor="accent1" w:themeShade="80"/>
                <w:sz w:val="20"/>
                <w:szCs w:val="20"/>
              </w:rPr>
              <w:t>Sampling Method</w:t>
            </w:r>
          </w:p>
        </w:tc>
      </w:tr>
      <w:tr w:rsidR="009116FA" w:rsidTr="0005094B">
        <w:tc>
          <w:tcPr>
            <w:tcW w:w="509" w:type="dxa"/>
            <w:shd w:val="clear" w:color="auto" w:fill="ABD9F8" w:themeFill="accent1" w:themeFillTint="66"/>
            <w:vAlign w:val="center"/>
          </w:tcPr>
          <w:p w:rsidR="009116FA" w:rsidRPr="0049642F" w:rsidRDefault="009116FA" w:rsidP="0005094B">
            <w:pPr>
              <w:rPr>
                <w:rFonts w:cstheme="minorHAnsi"/>
                <w:b/>
                <w:i/>
                <w:sz w:val="20"/>
                <w:szCs w:val="20"/>
              </w:rPr>
            </w:pPr>
            <w:r w:rsidRPr="0049642F">
              <w:rPr>
                <w:rFonts w:cstheme="minorHAnsi"/>
                <w:b/>
                <w:i/>
                <w:sz w:val="20"/>
                <w:szCs w:val="20"/>
              </w:rPr>
              <w:t>38</w:t>
            </w:r>
          </w:p>
        </w:tc>
        <w:tc>
          <w:tcPr>
            <w:tcW w:w="3018" w:type="dxa"/>
            <w:tcBorders>
              <w:top w:val="single" w:sz="4" w:space="0" w:color="auto"/>
              <w:left w:val="single" w:sz="4" w:space="0" w:color="auto"/>
              <w:bottom w:val="single" w:sz="4" w:space="0" w:color="auto"/>
              <w:right w:val="single" w:sz="4" w:space="0" w:color="auto"/>
            </w:tcBorders>
            <w:shd w:val="clear" w:color="auto" w:fill="ABD9F8" w:themeFill="accent1" w:themeFillTint="66"/>
            <w:vAlign w:val="center"/>
          </w:tcPr>
          <w:p w:rsidR="009116FA" w:rsidRPr="0091564D" w:rsidRDefault="009116FA" w:rsidP="0005094B">
            <w:pPr>
              <w:rPr>
                <w:rFonts w:cstheme="minorHAnsi"/>
                <w:sz w:val="20"/>
                <w:szCs w:val="20"/>
              </w:rPr>
            </w:pPr>
            <w:proofErr w:type="spellStart"/>
            <w:r w:rsidRPr="0091564D">
              <w:rPr>
                <w:rFonts w:cstheme="minorHAnsi"/>
                <w:sz w:val="20"/>
                <w:szCs w:val="20"/>
              </w:rPr>
              <w:t>Brexit</w:t>
            </w:r>
            <w:proofErr w:type="spellEnd"/>
          </w:p>
        </w:tc>
        <w:tc>
          <w:tcPr>
            <w:tcW w:w="946" w:type="dxa"/>
            <w:tcBorders>
              <w:top w:val="single" w:sz="4" w:space="0" w:color="auto"/>
              <w:left w:val="nil"/>
              <w:bottom w:val="single" w:sz="4" w:space="0" w:color="auto"/>
              <w:right w:val="single" w:sz="4" w:space="0" w:color="auto"/>
            </w:tcBorders>
            <w:shd w:val="clear" w:color="auto" w:fill="ABD9F8" w:themeFill="accent1" w:themeFillTint="66"/>
            <w:vAlign w:val="center"/>
          </w:tcPr>
          <w:p w:rsidR="009116FA" w:rsidRPr="0091564D" w:rsidRDefault="009116FA" w:rsidP="0005094B">
            <w:pPr>
              <w:rPr>
                <w:rFonts w:cstheme="minorHAnsi"/>
                <w:sz w:val="20"/>
                <w:szCs w:val="20"/>
              </w:rPr>
            </w:pPr>
            <w:r w:rsidRPr="0091564D">
              <w:rPr>
                <w:rFonts w:cstheme="minorHAnsi"/>
                <w:sz w:val="20"/>
                <w:szCs w:val="20"/>
              </w:rPr>
              <w:t>Citizen Assemblies</w:t>
            </w:r>
          </w:p>
        </w:tc>
        <w:tc>
          <w:tcPr>
            <w:tcW w:w="2146" w:type="dxa"/>
            <w:tcBorders>
              <w:top w:val="single" w:sz="4" w:space="0" w:color="auto"/>
              <w:left w:val="nil"/>
              <w:bottom w:val="single" w:sz="4" w:space="0" w:color="auto"/>
              <w:right w:val="single" w:sz="4" w:space="0" w:color="auto"/>
            </w:tcBorders>
            <w:shd w:val="clear" w:color="auto" w:fill="ABD9F8" w:themeFill="accent1" w:themeFillTint="66"/>
            <w:vAlign w:val="center"/>
          </w:tcPr>
          <w:p w:rsidR="009116FA" w:rsidRPr="0091564D" w:rsidRDefault="009116FA" w:rsidP="0005094B">
            <w:pPr>
              <w:rPr>
                <w:rFonts w:cstheme="minorHAnsi"/>
                <w:sz w:val="20"/>
                <w:szCs w:val="20"/>
              </w:rPr>
            </w:pPr>
            <w:r w:rsidRPr="0091564D">
              <w:rPr>
                <w:rFonts w:cstheme="minorHAnsi"/>
                <w:sz w:val="20"/>
                <w:szCs w:val="20"/>
              </w:rPr>
              <w:t>Manchester</w:t>
            </w:r>
          </w:p>
        </w:tc>
        <w:tc>
          <w:tcPr>
            <w:tcW w:w="688" w:type="dxa"/>
            <w:tcBorders>
              <w:top w:val="single" w:sz="4" w:space="0" w:color="auto"/>
              <w:left w:val="nil"/>
              <w:bottom w:val="single" w:sz="4" w:space="0" w:color="auto"/>
              <w:right w:val="single" w:sz="4" w:space="0" w:color="auto"/>
            </w:tcBorders>
            <w:shd w:val="clear" w:color="auto" w:fill="ABD9F8" w:themeFill="accent1" w:themeFillTint="66"/>
            <w:vAlign w:val="center"/>
          </w:tcPr>
          <w:p w:rsidR="009116FA" w:rsidRPr="0091564D" w:rsidRDefault="009116FA" w:rsidP="0005094B">
            <w:pPr>
              <w:rPr>
                <w:rFonts w:cstheme="minorHAnsi"/>
                <w:sz w:val="20"/>
                <w:szCs w:val="20"/>
              </w:rPr>
            </w:pPr>
            <w:r w:rsidRPr="0091564D">
              <w:rPr>
                <w:rFonts w:cstheme="minorHAnsi"/>
                <w:sz w:val="20"/>
                <w:szCs w:val="20"/>
              </w:rPr>
              <w:t>7 - 30 September, 2017</w:t>
            </w:r>
          </w:p>
        </w:tc>
        <w:tc>
          <w:tcPr>
            <w:tcW w:w="953" w:type="dxa"/>
            <w:tcBorders>
              <w:top w:val="single" w:sz="4" w:space="0" w:color="auto"/>
              <w:left w:val="nil"/>
              <w:bottom w:val="single" w:sz="4" w:space="0" w:color="auto"/>
              <w:right w:val="single" w:sz="4" w:space="0" w:color="auto"/>
            </w:tcBorders>
            <w:shd w:val="clear" w:color="auto" w:fill="ABD9F8" w:themeFill="accent1" w:themeFillTint="66"/>
            <w:vAlign w:val="center"/>
          </w:tcPr>
          <w:p w:rsidR="009116FA" w:rsidRPr="0091564D" w:rsidRDefault="009116FA" w:rsidP="0005094B">
            <w:pPr>
              <w:rPr>
                <w:rFonts w:cstheme="minorHAnsi"/>
                <w:sz w:val="20"/>
                <w:szCs w:val="20"/>
              </w:rPr>
            </w:pPr>
            <w:r w:rsidRPr="0091564D">
              <w:rPr>
                <w:rFonts w:cstheme="minorHAnsi"/>
                <w:sz w:val="20"/>
                <w:szCs w:val="20"/>
              </w:rPr>
              <w:t>6 days</w:t>
            </w:r>
          </w:p>
        </w:tc>
        <w:tc>
          <w:tcPr>
            <w:tcW w:w="1238" w:type="dxa"/>
            <w:tcBorders>
              <w:top w:val="single" w:sz="4" w:space="0" w:color="auto"/>
              <w:left w:val="nil"/>
              <w:bottom w:val="single" w:sz="4" w:space="0" w:color="auto"/>
              <w:right w:val="single" w:sz="4" w:space="0" w:color="auto"/>
            </w:tcBorders>
            <w:shd w:val="clear" w:color="auto" w:fill="ABD9F8" w:themeFill="accent1" w:themeFillTint="66"/>
            <w:vAlign w:val="center"/>
          </w:tcPr>
          <w:p w:rsidR="009116FA" w:rsidRPr="0091564D" w:rsidRDefault="009116FA" w:rsidP="0005094B">
            <w:pPr>
              <w:rPr>
                <w:rFonts w:cstheme="minorHAnsi"/>
                <w:sz w:val="20"/>
                <w:szCs w:val="20"/>
              </w:rPr>
            </w:pPr>
            <w:r w:rsidRPr="0091564D">
              <w:rPr>
                <w:rFonts w:cstheme="minorHAnsi"/>
                <w:sz w:val="20"/>
                <w:szCs w:val="20"/>
              </w:rPr>
              <w:t>50</w:t>
            </w:r>
          </w:p>
        </w:tc>
        <w:tc>
          <w:tcPr>
            <w:tcW w:w="1701" w:type="dxa"/>
            <w:tcBorders>
              <w:top w:val="single" w:sz="4" w:space="0" w:color="auto"/>
              <w:left w:val="nil"/>
              <w:bottom w:val="single" w:sz="4" w:space="0" w:color="auto"/>
              <w:right w:val="single" w:sz="4" w:space="0" w:color="auto"/>
            </w:tcBorders>
            <w:shd w:val="clear" w:color="auto" w:fill="ABD9F8" w:themeFill="accent1" w:themeFillTint="66"/>
            <w:vAlign w:val="center"/>
          </w:tcPr>
          <w:p w:rsidR="009116FA" w:rsidRPr="0091564D" w:rsidRDefault="009116FA" w:rsidP="0005094B">
            <w:pPr>
              <w:rPr>
                <w:rFonts w:cstheme="minorHAnsi"/>
                <w:sz w:val="20"/>
                <w:szCs w:val="20"/>
              </w:rPr>
            </w:pPr>
            <w:r w:rsidRPr="0091564D">
              <w:rPr>
                <w:rFonts w:cstheme="minorHAnsi"/>
                <w:sz w:val="20"/>
                <w:szCs w:val="20"/>
              </w:rPr>
              <w:t>Random selection</w:t>
            </w:r>
          </w:p>
        </w:tc>
      </w:tr>
      <w:tr w:rsidR="009116FA" w:rsidTr="0005094B">
        <w:tc>
          <w:tcPr>
            <w:tcW w:w="509" w:type="dxa"/>
            <w:vAlign w:val="center"/>
          </w:tcPr>
          <w:p w:rsidR="009116FA" w:rsidRPr="0049642F" w:rsidRDefault="009116FA" w:rsidP="0005094B">
            <w:pPr>
              <w:rPr>
                <w:rFonts w:cstheme="minorHAnsi"/>
                <w:b/>
                <w:i/>
                <w:sz w:val="20"/>
                <w:szCs w:val="20"/>
              </w:rPr>
            </w:pPr>
            <w:r w:rsidRPr="0049642F">
              <w:rPr>
                <w:rFonts w:cstheme="minorHAnsi"/>
                <w:b/>
                <w:i/>
                <w:sz w:val="20"/>
                <w:szCs w:val="20"/>
              </w:rPr>
              <w:t>39</w:t>
            </w:r>
          </w:p>
        </w:tc>
        <w:tc>
          <w:tcPr>
            <w:tcW w:w="3018" w:type="dxa"/>
            <w:tcBorders>
              <w:top w:val="nil"/>
              <w:left w:val="single" w:sz="4" w:space="0" w:color="auto"/>
              <w:bottom w:val="single" w:sz="4" w:space="0" w:color="auto"/>
              <w:right w:val="single" w:sz="4" w:space="0" w:color="auto"/>
            </w:tcBorders>
            <w:shd w:val="clear" w:color="auto" w:fill="auto"/>
            <w:vAlign w:val="center"/>
          </w:tcPr>
          <w:p w:rsidR="009116FA" w:rsidRPr="0091564D" w:rsidRDefault="009116FA" w:rsidP="0005094B">
            <w:pPr>
              <w:rPr>
                <w:rFonts w:cstheme="minorHAnsi"/>
                <w:sz w:val="20"/>
                <w:szCs w:val="20"/>
              </w:rPr>
            </w:pPr>
            <w:r>
              <w:rPr>
                <w:rFonts w:cstheme="minorHAnsi"/>
                <w:sz w:val="20"/>
                <w:szCs w:val="20"/>
              </w:rPr>
              <w:t>D</w:t>
            </w:r>
            <w:r w:rsidRPr="0091564D">
              <w:rPr>
                <w:rFonts w:cstheme="minorHAnsi"/>
                <w:sz w:val="20"/>
                <w:szCs w:val="20"/>
              </w:rPr>
              <w:t>etection of atrial fibrillation</w:t>
            </w:r>
          </w:p>
        </w:tc>
        <w:tc>
          <w:tcPr>
            <w:tcW w:w="946" w:type="dxa"/>
            <w:tcBorders>
              <w:top w:val="nil"/>
              <w:left w:val="nil"/>
              <w:bottom w:val="single" w:sz="4" w:space="0" w:color="auto"/>
              <w:right w:val="single" w:sz="4" w:space="0" w:color="auto"/>
            </w:tcBorders>
            <w:shd w:val="clear" w:color="auto" w:fill="auto"/>
            <w:vAlign w:val="center"/>
          </w:tcPr>
          <w:p w:rsidR="009116FA" w:rsidRPr="0091564D" w:rsidRDefault="009116FA" w:rsidP="0005094B">
            <w:pPr>
              <w:rPr>
                <w:rFonts w:cstheme="minorHAnsi"/>
                <w:sz w:val="20"/>
                <w:szCs w:val="20"/>
              </w:rPr>
            </w:pPr>
            <w:r w:rsidRPr="0091564D">
              <w:rPr>
                <w:rFonts w:cstheme="minorHAnsi"/>
                <w:sz w:val="20"/>
                <w:szCs w:val="20"/>
              </w:rPr>
              <w:t>Consensus Conference</w:t>
            </w:r>
          </w:p>
        </w:tc>
        <w:tc>
          <w:tcPr>
            <w:tcW w:w="2146" w:type="dxa"/>
            <w:tcBorders>
              <w:top w:val="nil"/>
              <w:left w:val="nil"/>
              <w:bottom w:val="single" w:sz="4" w:space="0" w:color="auto"/>
              <w:right w:val="single" w:sz="4" w:space="0" w:color="auto"/>
            </w:tcBorders>
            <w:shd w:val="clear" w:color="auto" w:fill="auto"/>
            <w:vAlign w:val="center"/>
          </w:tcPr>
          <w:p w:rsidR="009116FA" w:rsidRPr="0091564D" w:rsidRDefault="009116FA" w:rsidP="0005094B">
            <w:pPr>
              <w:rPr>
                <w:rFonts w:cstheme="minorHAnsi"/>
                <w:sz w:val="20"/>
                <w:szCs w:val="20"/>
              </w:rPr>
            </w:pPr>
            <w:r w:rsidRPr="0091564D">
              <w:rPr>
                <w:rFonts w:cstheme="minorHAnsi"/>
                <w:sz w:val="20"/>
                <w:szCs w:val="20"/>
              </w:rPr>
              <w:t>Edinburgh</w:t>
            </w:r>
          </w:p>
        </w:tc>
        <w:tc>
          <w:tcPr>
            <w:tcW w:w="688" w:type="dxa"/>
            <w:tcBorders>
              <w:top w:val="nil"/>
              <w:left w:val="nil"/>
              <w:bottom w:val="single" w:sz="4" w:space="0" w:color="auto"/>
              <w:right w:val="single" w:sz="4" w:space="0" w:color="auto"/>
            </w:tcBorders>
            <w:shd w:val="clear" w:color="auto" w:fill="auto"/>
            <w:vAlign w:val="center"/>
          </w:tcPr>
          <w:p w:rsidR="009116FA" w:rsidRPr="0091564D" w:rsidRDefault="009116FA" w:rsidP="0005094B">
            <w:pPr>
              <w:rPr>
                <w:rFonts w:cstheme="minorHAnsi"/>
                <w:sz w:val="20"/>
                <w:szCs w:val="20"/>
              </w:rPr>
            </w:pPr>
            <w:r w:rsidRPr="0091564D">
              <w:rPr>
                <w:rFonts w:cstheme="minorHAnsi"/>
                <w:sz w:val="20"/>
                <w:szCs w:val="20"/>
              </w:rPr>
              <w:t>1–2 March 2012</w:t>
            </w:r>
          </w:p>
        </w:tc>
        <w:tc>
          <w:tcPr>
            <w:tcW w:w="953" w:type="dxa"/>
            <w:tcBorders>
              <w:top w:val="nil"/>
              <w:left w:val="nil"/>
              <w:bottom w:val="single" w:sz="4" w:space="0" w:color="auto"/>
              <w:right w:val="single" w:sz="4" w:space="0" w:color="auto"/>
            </w:tcBorders>
            <w:shd w:val="clear" w:color="auto" w:fill="auto"/>
            <w:vAlign w:val="center"/>
          </w:tcPr>
          <w:p w:rsidR="009116FA" w:rsidRPr="0091564D" w:rsidRDefault="009116FA" w:rsidP="0005094B">
            <w:pPr>
              <w:rPr>
                <w:rFonts w:cstheme="minorHAnsi"/>
                <w:sz w:val="20"/>
                <w:szCs w:val="20"/>
              </w:rPr>
            </w:pPr>
            <w:r w:rsidRPr="0091564D">
              <w:rPr>
                <w:rFonts w:cstheme="minorHAnsi"/>
                <w:sz w:val="20"/>
                <w:szCs w:val="20"/>
              </w:rPr>
              <w:t>2 days</w:t>
            </w:r>
          </w:p>
        </w:tc>
        <w:tc>
          <w:tcPr>
            <w:tcW w:w="1238" w:type="dxa"/>
            <w:tcBorders>
              <w:top w:val="nil"/>
              <w:left w:val="nil"/>
              <w:bottom w:val="single" w:sz="4" w:space="0" w:color="auto"/>
              <w:right w:val="single" w:sz="4" w:space="0" w:color="auto"/>
            </w:tcBorders>
            <w:shd w:val="clear" w:color="auto" w:fill="auto"/>
            <w:vAlign w:val="center"/>
          </w:tcPr>
          <w:p w:rsidR="009116FA" w:rsidRPr="0091564D" w:rsidRDefault="009116FA" w:rsidP="0005094B">
            <w:pPr>
              <w:rPr>
                <w:rFonts w:cstheme="minorHAnsi"/>
                <w:sz w:val="20"/>
                <w:szCs w:val="20"/>
              </w:rPr>
            </w:pPr>
            <w:r w:rsidRPr="0091564D">
              <w:rPr>
                <w:rFonts w:cstheme="minorHAnsi"/>
                <w:sz w:val="20"/>
                <w:szCs w:val="20"/>
              </w:rPr>
              <w:t>Don't know</w:t>
            </w:r>
          </w:p>
        </w:tc>
        <w:tc>
          <w:tcPr>
            <w:tcW w:w="1701" w:type="dxa"/>
            <w:tcBorders>
              <w:top w:val="nil"/>
              <w:left w:val="nil"/>
              <w:bottom w:val="single" w:sz="4" w:space="0" w:color="auto"/>
              <w:right w:val="single" w:sz="4" w:space="0" w:color="auto"/>
            </w:tcBorders>
            <w:shd w:val="clear" w:color="auto" w:fill="auto"/>
            <w:vAlign w:val="center"/>
          </w:tcPr>
          <w:p w:rsidR="009116FA" w:rsidRPr="0091564D" w:rsidRDefault="009116FA" w:rsidP="0005094B">
            <w:pPr>
              <w:rPr>
                <w:rFonts w:cstheme="minorHAnsi"/>
                <w:sz w:val="20"/>
                <w:szCs w:val="20"/>
              </w:rPr>
            </w:pPr>
            <w:r w:rsidRPr="0091564D">
              <w:rPr>
                <w:rFonts w:cstheme="minorHAnsi"/>
                <w:sz w:val="20"/>
                <w:szCs w:val="20"/>
              </w:rPr>
              <w:t>Don't know</w:t>
            </w:r>
          </w:p>
        </w:tc>
      </w:tr>
      <w:tr w:rsidR="009116FA" w:rsidTr="0005094B">
        <w:tc>
          <w:tcPr>
            <w:tcW w:w="509" w:type="dxa"/>
            <w:shd w:val="clear" w:color="auto" w:fill="ABD9F8" w:themeFill="accent1" w:themeFillTint="66"/>
            <w:vAlign w:val="center"/>
          </w:tcPr>
          <w:p w:rsidR="009116FA" w:rsidRPr="0049642F" w:rsidRDefault="009116FA" w:rsidP="0005094B">
            <w:pPr>
              <w:rPr>
                <w:rFonts w:cstheme="minorHAnsi"/>
                <w:b/>
                <w:i/>
                <w:sz w:val="20"/>
                <w:szCs w:val="20"/>
              </w:rPr>
            </w:pPr>
            <w:r w:rsidRPr="0049642F">
              <w:rPr>
                <w:rFonts w:cstheme="minorHAnsi"/>
                <w:b/>
                <w:i/>
                <w:sz w:val="20"/>
                <w:szCs w:val="20"/>
              </w:rPr>
              <w:t>40</w:t>
            </w:r>
          </w:p>
        </w:tc>
        <w:tc>
          <w:tcPr>
            <w:tcW w:w="3018" w:type="dxa"/>
            <w:tcBorders>
              <w:top w:val="nil"/>
              <w:left w:val="single" w:sz="4" w:space="0" w:color="auto"/>
              <w:bottom w:val="single" w:sz="4" w:space="0" w:color="auto"/>
              <w:right w:val="single" w:sz="4" w:space="0" w:color="auto"/>
            </w:tcBorders>
            <w:shd w:val="clear" w:color="auto" w:fill="ABD9F8" w:themeFill="accent1" w:themeFillTint="66"/>
            <w:vAlign w:val="center"/>
          </w:tcPr>
          <w:p w:rsidR="009116FA" w:rsidRPr="0091564D" w:rsidRDefault="009116FA" w:rsidP="0005094B">
            <w:pPr>
              <w:rPr>
                <w:rFonts w:cstheme="minorHAnsi"/>
                <w:sz w:val="20"/>
                <w:szCs w:val="20"/>
              </w:rPr>
            </w:pPr>
            <w:proofErr w:type="spellStart"/>
            <w:r w:rsidRPr="0091564D">
              <w:rPr>
                <w:rFonts w:cstheme="minorHAnsi"/>
                <w:sz w:val="20"/>
                <w:szCs w:val="20"/>
              </w:rPr>
              <w:t>Alzheimers</w:t>
            </w:r>
            <w:proofErr w:type="spellEnd"/>
          </w:p>
        </w:tc>
        <w:tc>
          <w:tcPr>
            <w:tcW w:w="946" w:type="dxa"/>
            <w:tcBorders>
              <w:top w:val="nil"/>
              <w:left w:val="nil"/>
              <w:bottom w:val="single" w:sz="4" w:space="0" w:color="auto"/>
              <w:right w:val="single" w:sz="4" w:space="0" w:color="auto"/>
            </w:tcBorders>
            <w:shd w:val="clear" w:color="auto" w:fill="ABD9F8" w:themeFill="accent1" w:themeFillTint="66"/>
            <w:vAlign w:val="center"/>
          </w:tcPr>
          <w:p w:rsidR="009116FA" w:rsidRPr="0091564D" w:rsidRDefault="009116FA" w:rsidP="0005094B">
            <w:pPr>
              <w:rPr>
                <w:rFonts w:cstheme="minorHAnsi"/>
                <w:sz w:val="20"/>
                <w:szCs w:val="20"/>
              </w:rPr>
            </w:pPr>
            <w:r w:rsidRPr="0091564D">
              <w:rPr>
                <w:rFonts w:cstheme="minorHAnsi"/>
                <w:sz w:val="20"/>
                <w:szCs w:val="20"/>
              </w:rPr>
              <w:t>Consensus Conference</w:t>
            </w:r>
          </w:p>
        </w:tc>
        <w:tc>
          <w:tcPr>
            <w:tcW w:w="2146" w:type="dxa"/>
            <w:tcBorders>
              <w:top w:val="nil"/>
              <w:left w:val="nil"/>
              <w:bottom w:val="single" w:sz="4" w:space="0" w:color="auto"/>
              <w:right w:val="single" w:sz="4" w:space="0" w:color="auto"/>
            </w:tcBorders>
            <w:shd w:val="clear" w:color="auto" w:fill="ABD9F8" w:themeFill="accent1" w:themeFillTint="66"/>
            <w:vAlign w:val="center"/>
          </w:tcPr>
          <w:p w:rsidR="009116FA" w:rsidRPr="0091564D" w:rsidRDefault="009116FA" w:rsidP="0005094B">
            <w:pPr>
              <w:rPr>
                <w:rFonts w:cstheme="minorHAnsi"/>
                <w:sz w:val="20"/>
                <w:szCs w:val="20"/>
              </w:rPr>
            </w:pPr>
            <w:r w:rsidRPr="0091564D">
              <w:rPr>
                <w:rFonts w:cstheme="minorHAnsi"/>
                <w:sz w:val="20"/>
                <w:szCs w:val="20"/>
              </w:rPr>
              <w:t>London</w:t>
            </w:r>
          </w:p>
        </w:tc>
        <w:tc>
          <w:tcPr>
            <w:tcW w:w="688" w:type="dxa"/>
            <w:tcBorders>
              <w:top w:val="nil"/>
              <w:left w:val="nil"/>
              <w:bottom w:val="single" w:sz="4" w:space="0" w:color="auto"/>
              <w:right w:val="single" w:sz="4" w:space="0" w:color="auto"/>
            </w:tcBorders>
            <w:shd w:val="clear" w:color="auto" w:fill="ABD9F8" w:themeFill="accent1" w:themeFillTint="66"/>
            <w:vAlign w:val="center"/>
          </w:tcPr>
          <w:p w:rsidR="009116FA" w:rsidRPr="0091564D" w:rsidRDefault="009116FA" w:rsidP="0005094B">
            <w:pPr>
              <w:rPr>
                <w:rFonts w:cstheme="minorHAnsi"/>
                <w:sz w:val="20"/>
                <w:szCs w:val="20"/>
              </w:rPr>
            </w:pPr>
            <w:r w:rsidRPr="0091564D">
              <w:rPr>
                <w:rFonts w:cstheme="minorHAnsi"/>
                <w:sz w:val="20"/>
                <w:szCs w:val="20"/>
              </w:rPr>
              <w:t>Don't know</w:t>
            </w:r>
          </w:p>
        </w:tc>
        <w:tc>
          <w:tcPr>
            <w:tcW w:w="953" w:type="dxa"/>
            <w:tcBorders>
              <w:top w:val="nil"/>
              <w:left w:val="nil"/>
              <w:bottom w:val="single" w:sz="4" w:space="0" w:color="auto"/>
              <w:right w:val="single" w:sz="4" w:space="0" w:color="auto"/>
            </w:tcBorders>
            <w:shd w:val="clear" w:color="auto" w:fill="ABD9F8" w:themeFill="accent1" w:themeFillTint="66"/>
            <w:vAlign w:val="center"/>
          </w:tcPr>
          <w:p w:rsidR="009116FA" w:rsidRPr="0091564D" w:rsidRDefault="009116FA" w:rsidP="0005094B">
            <w:pPr>
              <w:rPr>
                <w:rFonts w:cstheme="minorHAnsi"/>
                <w:sz w:val="20"/>
                <w:szCs w:val="20"/>
              </w:rPr>
            </w:pPr>
            <w:r w:rsidRPr="0091564D">
              <w:rPr>
                <w:rFonts w:cstheme="minorHAnsi"/>
                <w:sz w:val="20"/>
                <w:szCs w:val="20"/>
              </w:rPr>
              <w:t>1 day</w:t>
            </w:r>
          </w:p>
        </w:tc>
        <w:tc>
          <w:tcPr>
            <w:tcW w:w="1238" w:type="dxa"/>
            <w:tcBorders>
              <w:top w:val="nil"/>
              <w:left w:val="nil"/>
              <w:bottom w:val="single" w:sz="4" w:space="0" w:color="auto"/>
              <w:right w:val="single" w:sz="4" w:space="0" w:color="auto"/>
            </w:tcBorders>
            <w:shd w:val="clear" w:color="auto" w:fill="ABD9F8" w:themeFill="accent1" w:themeFillTint="66"/>
            <w:vAlign w:val="center"/>
          </w:tcPr>
          <w:p w:rsidR="009116FA" w:rsidRPr="0091564D" w:rsidRDefault="009116FA" w:rsidP="0005094B">
            <w:pPr>
              <w:rPr>
                <w:rFonts w:cstheme="minorHAnsi"/>
                <w:sz w:val="20"/>
                <w:szCs w:val="20"/>
              </w:rPr>
            </w:pPr>
            <w:r w:rsidRPr="0091564D">
              <w:rPr>
                <w:rFonts w:cstheme="minorHAnsi"/>
                <w:sz w:val="20"/>
                <w:szCs w:val="20"/>
              </w:rPr>
              <w:t>Don't know</w:t>
            </w:r>
          </w:p>
        </w:tc>
        <w:tc>
          <w:tcPr>
            <w:tcW w:w="1701" w:type="dxa"/>
            <w:tcBorders>
              <w:top w:val="nil"/>
              <w:left w:val="nil"/>
              <w:bottom w:val="single" w:sz="4" w:space="0" w:color="auto"/>
              <w:right w:val="single" w:sz="4" w:space="0" w:color="auto"/>
            </w:tcBorders>
            <w:shd w:val="clear" w:color="auto" w:fill="ABD9F8" w:themeFill="accent1" w:themeFillTint="66"/>
            <w:vAlign w:val="center"/>
          </w:tcPr>
          <w:p w:rsidR="009116FA" w:rsidRPr="0091564D" w:rsidRDefault="009116FA" w:rsidP="0005094B">
            <w:pPr>
              <w:rPr>
                <w:rFonts w:cstheme="minorHAnsi"/>
                <w:sz w:val="20"/>
                <w:szCs w:val="20"/>
              </w:rPr>
            </w:pPr>
            <w:r w:rsidRPr="0091564D">
              <w:rPr>
                <w:rFonts w:cstheme="minorHAnsi"/>
                <w:sz w:val="20"/>
                <w:szCs w:val="20"/>
              </w:rPr>
              <w:t>Don't know</w:t>
            </w:r>
          </w:p>
        </w:tc>
      </w:tr>
      <w:tr w:rsidR="009116FA" w:rsidTr="0005094B">
        <w:tc>
          <w:tcPr>
            <w:tcW w:w="509" w:type="dxa"/>
            <w:vAlign w:val="center"/>
          </w:tcPr>
          <w:p w:rsidR="009116FA" w:rsidRPr="0049642F" w:rsidRDefault="009116FA" w:rsidP="0005094B">
            <w:pPr>
              <w:rPr>
                <w:rFonts w:cstheme="minorHAnsi"/>
                <w:b/>
                <w:i/>
                <w:sz w:val="20"/>
                <w:szCs w:val="20"/>
              </w:rPr>
            </w:pPr>
            <w:r w:rsidRPr="0049642F">
              <w:rPr>
                <w:rFonts w:cstheme="minorHAnsi"/>
                <w:b/>
                <w:i/>
                <w:sz w:val="20"/>
                <w:szCs w:val="20"/>
              </w:rPr>
              <w:t>41</w:t>
            </w:r>
          </w:p>
        </w:tc>
        <w:tc>
          <w:tcPr>
            <w:tcW w:w="3018" w:type="dxa"/>
            <w:tcBorders>
              <w:top w:val="nil"/>
              <w:left w:val="single" w:sz="4" w:space="0" w:color="auto"/>
              <w:bottom w:val="single" w:sz="4" w:space="0" w:color="auto"/>
              <w:right w:val="single" w:sz="4" w:space="0" w:color="auto"/>
            </w:tcBorders>
            <w:shd w:val="clear" w:color="auto" w:fill="auto"/>
            <w:vAlign w:val="center"/>
          </w:tcPr>
          <w:p w:rsidR="009116FA" w:rsidRPr="0091564D" w:rsidRDefault="009116FA" w:rsidP="0005094B">
            <w:pPr>
              <w:rPr>
                <w:rFonts w:cstheme="minorHAnsi"/>
                <w:sz w:val="20"/>
                <w:szCs w:val="20"/>
              </w:rPr>
            </w:pPr>
            <w:r w:rsidRPr="0091564D">
              <w:rPr>
                <w:rFonts w:cstheme="minorHAnsi"/>
                <w:sz w:val="20"/>
                <w:szCs w:val="20"/>
              </w:rPr>
              <w:t>Future of the NHS</w:t>
            </w:r>
          </w:p>
        </w:tc>
        <w:tc>
          <w:tcPr>
            <w:tcW w:w="946" w:type="dxa"/>
            <w:tcBorders>
              <w:top w:val="nil"/>
              <w:left w:val="nil"/>
              <w:bottom w:val="single" w:sz="4" w:space="0" w:color="auto"/>
              <w:right w:val="single" w:sz="4" w:space="0" w:color="auto"/>
            </w:tcBorders>
            <w:shd w:val="clear" w:color="auto" w:fill="auto"/>
            <w:vAlign w:val="center"/>
          </w:tcPr>
          <w:p w:rsidR="009116FA" w:rsidRPr="0091564D" w:rsidRDefault="009116FA" w:rsidP="0005094B">
            <w:pPr>
              <w:rPr>
                <w:rFonts w:cstheme="minorHAnsi"/>
                <w:sz w:val="20"/>
                <w:szCs w:val="20"/>
              </w:rPr>
            </w:pPr>
            <w:r w:rsidRPr="0091564D">
              <w:rPr>
                <w:rFonts w:cstheme="minorHAnsi"/>
                <w:sz w:val="20"/>
                <w:szCs w:val="20"/>
              </w:rPr>
              <w:t>Deliberative Poll</w:t>
            </w:r>
          </w:p>
        </w:tc>
        <w:tc>
          <w:tcPr>
            <w:tcW w:w="2146" w:type="dxa"/>
            <w:tcBorders>
              <w:top w:val="nil"/>
              <w:left w:val="nil"/>
              <w:bottom w:val="single" w:sz="4" w:space="0" w:color="auto"/>
              <w:right w:val="single" w:sz="4" w:space="0" w:color="auto"/>
            </w:tcBorders>
            <w:shd w:val="clear" w:color="auto" w:fill="auto"/>
            <w:vAlign w:val="center"/>
          </w:tcPr>
          <w:p w:rsidR="009116FA" w:rsidRPr="0091564D" w:rsidRDefault="009116FA" w:rsidP="0005094B">
            <w:pPr>
              <w:rPr>
                <w:rFonts w:cstheme="minorHAnsi"/>
                <w:sz w:val="20"/>
                <w:szCs w:val="20"/>
              </w:rPr>
            </w:pPr>
            <w:r w:rsidRPr="0091564D">
              <w:rPr>
                <w:rFonts w:cstheme="minorHAnsi"/>
                <w:sz w:val="20"/>
                <w:szCs w:val="20"/>
              </w:rPr>
              <w:t>Don't know</w:t>
            </w:r>
          </w:p>
        </w:tc>
        <w:tc>
          <w:tcPr>
            <w:tcW w:w="688" w:type="dxa"/>
            <w:tcBorders>
              <w:top w:val="nil"/>
              <w:left w:val="nil"/>
              <w:bottom w:val="single" w:sz="4" w:space="0" w:color="auto"/>
              <w:right w:val="single" w:sz="4" w:space="0" w:color="auto"/>
            </w:tcBorders>
            <w:shd w:val="clear" w:color="auto" w:fill="auto"/>
            <w:vAlign w:val="center"/>
          </w:tcPr>
          <w:p w:rsidR="009116FA" w:rsidRPr="0091564D" w:rsidRDefault="009116FA" w:rsidP="0005094B">
            <w:pPr>
              <w:rPr>
                <w:rFonts w:cstheme="minorHAnsi"/>
                <w:sz w:val="20"/>
                <w:szCs w:val="20"/>
              </w:rPr>
            </w:pPr>
            <w:r w:rsidRPr="0091564D">
              <w:rPr>
                <w:rFonts w:cstheme="minorHAnsi"/>
                <w:sz w:val="20"/>
                <w:szCs w:val="20"/>
              </w:rPr>
              <w:t>1998</w:t>
            </w:r>
          </w:p>
        </w:tc>
        <w:tc>
          <w:tcPr>
            <w:tcW w:w="953" w:type="dxa"/>
            <w:tcBorders>
              <w:top w:val="nil"/>
              <w:left w:val="nil"/>
              <w:bottom w:val="single" w:sz="4" w:space="0" w:color="auto"/>
              <w:right w:val="single" w:sz="4" w:space="0" w:color="auto"/>
            </w:tcBorders>
            <w:shd w:val="clear" w:color="auto" w:fill="auto"/>
            <w:vAlign w:val="center"/>
          </w:tcPr>
          <w:p w:rsidR="009116FA" w:rsidRPr="0091564D" w:rsidRDefault="009116FA" w:rsidP="0005094B">
            <w:pPr>
              <w:rPr>
                <w:rFonts w:cstheme="minorHAnsi"/>
                <w:sz w:val="20"/>
                <w:szCs w:val="20"/>
              </w:rPr>
            </w:pPr>
            <w:r w:rsidRPr="0091564D">
              <w:rPr>
                <w:rFonts w:cstheme="minorHAnsi"/>
                <w:sz w:val="20"/>
                <w:szCs w:val="20"/>
              </w:rPr>
              <w:t>2 days</w:t>
            </w:r>
          </w:p>
        </w:tc>
        <w:tc>
          <w:tcPr>
            <w:tcW w:w="1238" w:type="dxa"/>
            <w:tcBorders>
              <w:top w:val="nil"/>
              <w:left w:val="nil"/>
              <w:bottom w:val="single" w:sz="4" w:space="0" w:color="auto"/>
              <w:right w:val="single" w:sz="4" w:space="0" w:color="auto"/>
            </w:tcBorders>
            <w:shd w:val="clear" w:color="auto" w:fill="auto"/>
            <w:vAlign w:val="center"/>
          </w:tcPr>
          <w:p w:rsidR="009116FA" w:rsidRPr="0091564D" w:rsidRDefault="009116FA" w:rsidP="0005094B">
            <w:pPr>
              <w:rPr>
                <w:rFonts w:cstheme="minorHAnsi"/>
                <w:sz w:val="20"/>
                <w:szCs w:val="20"/>
              </w:rPr>
            </w:pPr>
            <w:r w:rsidRPr="0091564D">
              <w:rPr>
                <w:rFonts w:cstheme="minorHAnsi"/>
                <w:sz w:val="20"/>
                <w:szCs w:val="20"/>
              </w:rPr>
              <w:t>Don't know</w:t>
            </w:r>
          </w:p>
        </w:tc>
        <w:tc>
          <w:tcPr>
            <w:tcW w:w="1701" w:type="dxa"/>
            <w:tcBorders>
              <w:top w:val="nil"/>
              <w:left w:val="nil"/>
              <w:bottom w:val="single" w:sz="4" w:space="0" w:color="auto"/>
              <w:right w:val="single" w:sz="4" w:space="0" w:color="auto"/>
            </w:tcBorders>
            <w:shd w:val="clear" w:color="auto" w:fill="auto"/>
            <w:vAlign w:val="center"/>
          </w:tcPr>
          <w:p w:rsidR="009116FA" w:rsidRPr="0091564D" w:rsidRDefault="009116FA" w:rsidP="0005094B">
            <w:pPr>
              <w:rPr>
                <w:rFonts w:cstheme="minorHAnsi"/>
                <w:sz w:val="20"/>
                <w:szCs w:val="20"/>
              </w:rPr>
            </w:pPr>
            <w:r w:rsidRPr="0091564D">
              <w:rPr>
                <w:rFonts w:cstheme="minorHAnsi"/>
                <w:sz w:val="20"/>
                <w:szCs w:val="20"/>
              </w:rPr>
              <w:t>Random sampling</w:t>
            </w:r>
          </w:p>
        </w:tc>
      </w:tr>
      <w:tr w:rsidR="009116FA" w:rsidTr="0005094B">
        <w:tc>
          <w:tcPr>
            <w:tcW w:w="509" w:type="dxa"/>
            <w:shd w:val="clear" w:color="auto" w:fill="ABD9F8" w:themeFill="accent1" w:themeFillTint="66"/>
            <w:vAlign w:val="center"/>
          </w:tcPr>
          <w:p w:rsidR="009116FA" w:rsidRPr="0049642F" w:rsidRDefault="009116FA" w:rsidP="0005094B">
            <w:pPr>
              <w:rPr>
                <w:rFonts w:cstheme="minorHAnsi"/>
                <w:b/>
                <w:i/>
                <w:sz w:val="20"/>
                <w:szCs w:val="20"/>
              </w:rPr>
            </w:pPr>
            <w:r w:rsidRPr="0049642F">
              <w:rPr>
                <w:rFonts w:cstheme="minorHAnsi"/>
                <w:b/>
                <w:i/>
                <w:sz w:val="20"/>
                <w:szCs w:val="20"/>
              </w:rPr>
              <w:t>42</w:t>
            </w:r>
          </w:p>
        </w:tc>
        <w:tc>
          <w:tcPr>
            <w:tcW w:w="3018" w:type="dxa"/>
            <w:tcBorders>
              <w:top w:val="nil"/>
              <w:left w:val="single" w:sz="4" w:space="0" w:color="auto"/>
              <w:bottom w:val="single" w:sz="4" w:space="0" w:color="auto"/>
              <w:right w:val="single" w:sz="4" w:space="0" w:color="auto"/>
            </w:tcBorders>
            <w:shd w:val="clear" w:color="auto" w:fill="ABD9F8" w:themeFill="accent1" w:themeFillTint="66"/>
            <w:vAlign w:val="center"/>
          </w:tcPr>
          <w:p w:rsidR="009116FA" w:rsidRPr="0091564D" w:rsidRDefault="009116FA" w:rsidP="0005094B">
            <w:pPr>
              <w:rPr>
                <w:rFonts w:cstheme="minorHAnsi"/>
                <w:sz w:val="20"/>
                <w:szCs w:val="20"/>
              </w:rPr>
            </w:pPr>
            <w:r>
              <w:rPr>
                <w:rFonts w:cstheme="minorHAnsi"/>
                <w:sz w:val="20"/>
                <w:szCs w:val="20"/>
              </w:rPr>
              <w:t>F</w:t>
            </w:r>
            <w:r w:rsidRPr="0091564D">
              <w:rPr>
                <w:rFonts w:cstheme="minorHAnsi"/>
                <w:sz w:val="20"/>
                <w:szCs w:val="20"/>
              </w:rPr>
              <w:t>uture of local schools</w:t>
            </w:r>
          </w:p>
        </w:tc>
        <w:tc>
          <w:tcPr>
            <w:tcW w:w="946" w:type="dxa"/>
            <w:tcBorders>
              <w:top w:val="nil"/>
              <w:left w:val="nil"/>
              <w:bottom w:val="single" w:sz="4" w:space="0" w:color="auto"/>
              <w:right w:val="single" w:sz="4" w:space="0" w:color="auto"/>
            </w:tcBorders>
            <w:shd w:val="clear" w:color="auto" w:fill="ABD9F8" w:themeFill="accent1" w:themeFillTint="66"/>
            <w:vAlign w:val="center"/>
          </w:tcPr>
          <w:p w:rsidR="009116FA" w:rsidRPr="0091564D" w:rsidRDefault="009116FA" w:rsidP="0005094B">
            <w:pPr>
              <w:rPr>
                <w:rFonts w:cstheme="minorHAnsi"/>
                <w:sz w:val="20"/>
                <w:szCs w:val="20"/>
              </w:rPr>
            </w:pPr>
            <w:r w:rsidRPr="0091564D">
              <w:rPr>
                <w:rFonts w:cstheme="minorHAnsi"/>
                <w:sz w:val="20"/>
                <w:szCs w:val="20"/>
              </w:rPr>
              <w:t>Deliberative Poll</w:t>
            </w:r>
          </w:p>
        </w:tc>
        <w:tc>
          <w:tcPr>
            <w:tcW w:w="2146" w:type="dxa"/>
            <w:tcBorders>
              <w:top w:val="nil"/>
              <w:left w:val="nil"/>
              <w:bottom w:val="single" w:sz="4" w:space="0" w:color="auto"/>
              <w:right w:val="single" w:sz="4" w:space="0" w:color="auto"/>
            </w:tcBorders>
            <w:shd w:val="clear" w:color="auto" w:fill="ABD9F8" w:themeFill="accent1" w:themeFillTint="66"/>
            <w:vAlign w:val="center"/>
          </w:tcPr>
          <w:p w:rsidR="009116FA" w:rsidRPr="0091564D" w:rsidRDefault="009116FA" w:rsidP="0005094B">
            <w:pPr>
              <w:rPr>
                <w:rFonts w:cstheme="minorHAnsi"/>
                <w:sz w:val="20"/>
                <w:szCs w:val="20"/>
              </w:rPr>
            </w:pPr>
            <w:proofErr w:type="spellStart"/>
            <w:r w:rsidRPr="0091564D">
              <w:rPr>
                <w:rFonts w:cstheme="minorHAnsi"/>
                <w:sz w:val="20"/>
                <w:szCs w:val="20"/>
              </w:rPr>
              <w:t>Omagh</w:t>
            </w:r>
            <w:proofErr w:type="spellEnd"/>
          </w:p>
        </w:tc>
        <w:tc>
          <w:tcPr>
            <w:tcW w:w="688" w:type="dxa"/>
            <w:tcBorders>
              <w:top w:val="nil"/>
              <w:left w:val="nil"/>
              <w:bottom w:val="single" w:sz="4" w:space="0" w:color="auto"/>
              <w:right w:val="single" w:sz="4" w:space="0" w:color="auto"/>
            </w:tcBorders>
            <w:shd w:val="clear" w:color="auto" w:fill="ABD9F8" w:themeFill="accent1" w:themeFillTint="66"/>
            <w:vAlign w:val="center"/>
          </w:tcPr>
          <w:p w:rsidR="009116FA" w:rsidRPr="0091564D" w:rsidRDefault="009116FA" w:rsidP="0005094B">
            <w:pPr>
              <w:rPr>
                <w:rFonts w:cstheme="minorHAnsi"/>
                <w:sz w:val="20"/>
                <w:szCs w:val="20"/>
              </w:rPr>
            </w:pPr>
            <w:r w:rsidRPr="0091564D">
              <w:rPr>
                <w:rFonts w:cstheme="minorHAnsi"/>
                <w:sz w:val="20"/>
                <w:szCs w:val="20"/>
              </w:rPr>
              <w:t>27</w:t>
            </w:r>
            <w:r>
              <w:rPr>
                <w:rFonts w:cstheme="minorHAnsi"/>
                <w:sz w:val="20"/>
                <w:szCs w:val="20"/>
              </w:rPr>
              <w:t xml:space="preserve"> Jan 20</w:t>
            </w:r>
            <w:r w:rsidRPr="0091564D">
              <w:rPr>
                <w:rFonts w:cstheme="minorHAnsi"/>
                <w:sz w:val="20"/>
                <w:szCs w:val="20"/>
              </w:rPr>
              <w:t>07</w:t>
            </w:r>
          </w:p>
        </w:tc>
        <w:tc>
          <w:tcPr>
            <w:tcW w:w="953" w:type="dxa"/>
            <w:tcBorders>
              <w:top w:val="nil"/>
              <w:left w:val="nil"/>
              <w:bottom w:val="single" w:sz="4" w:space="0" w:color="auto"/>
              <w:right w:val="single" w:sz="4" w:space="0" w:color="auto"/>
            </w:tcBorders>
            <w:shd w:val="clear" w:color="auto" w:fill="ABD9F8" w:themeFill="accent1" w:themeFillTint="66"/>
            <w:vAlign w:val="center"/>
          </w:tcPr>
          <w:p w:rsidR="009116FA" w:rsidRPr="0091564D" w:rsidRDefault="009116FA" w:rsidP="0005094B">
            <w:pPr>
              <w:rPr>
                <w:rFonts w:cstheme="minorHAnsi"/>
                <w:sz w:val="20"/>
                <w:szCs w:val="20"/>
              </w:rPr>
            </w:pPr>
            <w:r w:rsidRPr="0091564D">
              <w:rPr>
                <w:rFonts w:cstheme="minorHAnsi"/>
                <w:sz w:val="20"/>
                <w:szCs w:val="20"/>
              </w:rPr>
              <w:t>1 day</w:t>
            </w:r>
          </w:p>
        </w:tc>
        <w:tc>
          <w:tcPr>
            <w:tcW w:w="1238" w:type="dxa"/>
            <w:tcBorders>
              <w:top w:val="nil"/>
              <w:left w:val="nil"/>
              <w:bottom w:val="single" w:sz="4" w:space="0" w:color="auto"/>
              <w:right w:val="single" w:sz="4" w:space="0" w:color="auto"/>
            </w:tcBorders>
            <w:shd w:val="clear" w:color="auto" w:fill="ABD9F8" w:themeFill="accent1" w:themeFillTint="66"/>
            <w:vAlign w:val="center"/>
          </w:tcPr>
          <w:p w:rsidR="009116FA" w:rsidRPr="0091564D" w:rsidRDefault="009116FA" w:rsidP="0005094B">
            <w:pPr>
              <w:rPr>
                <w:rFonts w:cstheme="minorHAnsi"/>
                <w:sz w:val="20"/>
                <w:szCs w:val="20"/>
              </w:rPr>
            </w:pPr>
            <w:r w:rsidRPr="0091564D">
              <w:rPr>
                <w:rFonts w:cstheme="minorHAnsi"/>
                <w:sz w:val="20"/>
                <w:szCs w:val="20"/>
              </w:rPr>
              <w:t>127</w:t>
            </w:r>
          </w:p>
        </w:tc>
        <w:tc>
          <w:tcPr>
            <w:tcW w:w="1701" w:type="dxa"/>
            <w:tcBorders>
              <w:top w:val="nil"/>
              <w:left w:val="nil"/>
              <w:bottom w:val="single" w:sz="4" w:space="0" w:color="auto"/>
              <w:right w:val="single" w:sz="4" w:space="0" w:color="auto"/>
            </w:tcBorders>
            <w:shd w:val="clear" w:color="auto" w:fill="ABD9F8" w:themeFill="accent1" w:themeFillTint="66"/>
            <w:vAlign w:val="center"/>
          </w:tcPr>
          <w:p w:rsidR="009116FA" w:rsidRPr="0091564D" w:rsidRDefault="009116FA" w:rsidP="0005094B">
            <w:pPr>
              <w:rPr>
                <w:rFonts w:cstheme="minorHAnsi"/>
                <w:sz w:val="20"/>
                <w:szCs w:val="20"/>
              </w:rPr>
            </w:pPr>
            <w:r w:rsidRPr="0091564D">
              <w:rPr>
                <w:rFonts w:cstheme="minorHAnsi"/>
                <w:sz w:val="20"/>
                <w:szCs w:val="20"/>
              </w:rPr>
              <w:t xml:space="preserve">Random sample of parents </w:t>
            </w:r>
          </w:p>
        </w:tc>
      </w:tr>
      <w:tr w:rsidR="009116FA" w:rsidTr="0005094B">
        <w:tc>
          <w:tcPr>
            <w:tcW w:w="509" w:type="dxa"/>
            <w:vAlign w:val="center"/>
          </w:tcPr>
          <w:p w:rsidR="009116FA" w:rsidRPr="0049642F" w:rsidRDefault="009116FA" w:rsidP="0005094B">
            <w:pPr>
              <w:rPr>
                <w:rFonts w:cstheme="minorHAnsi"/>
                <w:b/>
                <w:i/>
                <w:sz w:val="20"/>
                <w:szCs w:val="20"/>
              </w:rPr>
            </w:pPr>
            <w:r w:rsidRPr="0049642F">
              <w:rPr>
                <w:rFonts w:cstheme="minorHAnsi"/>
                <w:b/>
                <w:i/>
                <w:sz w:val="20"/>
                <w:szCs w:val="20"/>
              </w:rPr>
              <w:t>43</w:t>
            </w:r>
          </w:p>
        </w:tc>
        <w:tc>
          <w:tcPr>
            <w:tcW w:w="3018" w:type="dxa"/>
            <w:tcBorders>
              <w:top w:val="nil"/>
              <w:left w:val="single" w:sz="4" w:space="0" w:color="auto"/>
              <w:bottom w:val="single" w:sz="4" w:space="0" w:color="auto"/>
              <w:right w:val="single" w:sz="4" w:space="0" w:color="auto"/>
            </w:tcBorders>
            <w:shd w:val="clear" w:color="auto" w:fill="auto"/>
            <w:vAlign w:val="center"/>
          </w:tcPr>
          <w:p w:rsidR="009116FA" w:rsidRPr="0091564D" w:rsidRDefault="009116FA" w:rsidP="0005094B">
            <w:pPr>
              <w:rPr>
                <w:rFonts w:cstheme="minorHAnsi"/>
                <w:sz w:val="20"/>
                <w:szCs w:val="20"/>
              </w:rPr>
            </w:pPr>
            <w:r w:rsidRPr="0091564D">
              <w:rPr>
                <w:rFonts w:cstheme="minorHAnsi"/>
                <w:sz w:val="20"/>
                <w:szCs w:val="20"/>
              </w:rPr>
              <w:t>Build Phase of NHS Citizen: Citizen Jury [to identify issues to take to the Citizen Assembly - see r below]</w:t>
            </w:r>
          </w:p>
        </w:tc>
        <w:tc>
          <w:tcPr>
            <w:tcW w:w="946" w:type="dxa"/>
            <w:tcBorders>
              <w:top w:val="nil"/>
              <w:left w:val="nil"/>
              <w:bottom w:val="single" w:sz="4" w:space="0" w:color="auto"/>
              <w:right w:val="single" w:sz="4" w:space="0" w:color="auto"/>
            </w:tcBorders>
            <w:shd w:val="clear" w:color="auto" w:fill="auto"/>
            <w:vAlign w:val="center"/>
          </w:tcPr>
          <w:p w:rsidR="009116FA" w:rsidRPr="0091564D" w:rsidRDefault="009116FA" w:rsidP="0005094B">
            <w:pPr>
              <w:rPr>
                <w:rFonts w:cstheme="minorHAnsi"/>
                <w:sz w:val="20"/>
                <w:szCs w:val="20"/>
              </w:rPr>
            </w:pPr>
            <w:r w:rsidRPr="0091564D">
              <w:rPr>
                <w:rFonts w:cstheme="minorHAnsi"/>
                <w:sz w:val="20"/>
                <w:szCs w:val="20"/>
              </w:rPr>
              <w:t xml:space="preserve">Citizen Jury </w:t>
            </w:r>
          </w:p>
        </w:tc>
        <w:tc>
          <w:tcPr>
            <w:tcW w:w="2146" w:type="dxa"/>
            <w:tcBorders>
              <w:top w:val="nil"/>
              <w:left w:val="nil"/>
              <w:bottom w:val="single" w:sz="4" w:space="0" w:color="auto"/>
              <w:right w:val="single" w:sz="4" w:space="0" w:color="auto"/>
            </w:tcBorders>
            <w:shd w:val="clear" w:color="auto" w:fill="auto"/>
            <w:vAlign w:val="center"/>
          </w:tcPr>
          <w:p w:rsidR="009116FA" w:rsidRPr="0091564D" w:rsidRDefault="009116FA" w:rsidP="0005094B">
            <w:pPr>
              <w:rPr>
                <w:rFonts w:cstheme="minorHAnsi"/>
                <w:sz w:val="20"/>
                <w:szCs w:val="20"/>
              </w:rPr>
            </w:pPr>
            <w:r w:rsidRPr="0091564D">
              <w:rPr>
                <w:rFonts w:cstheme="minorHAnsi"/>
                <w:sz w:val="20"/>
                <w:szCs w:val="20"/>
              </w:rPr>
              <w:t xml:space="preserve">Stoke on Trent </w:t>
            </w:r>
          </w:p>
        </w:tc>
        <w:tc>
          <w:tcPr>
            <w:tcW w:w="688" w:type="dxa"/>
            <w:tcBorders>
              <w:top w:val="nil"/>
              <w:left w:val="nil"/>
              <w:bottom w:val="single" w:sz="4" w:space="0" w:color="auto"/>
              <w:right w:val="single" w:sz="4" w:space="0" w:color="auto"/>
            </w:tcBorders>
            <w:shd w:val="clear" w:color="auto" w:fill="auto"/>
            <w:vAlign w:val="center"/>
          </w:tcPr>
          <w:p w:rsidR="009116FA" w:rsidRPr="0091564D" w:rsidRDefault="009116FA" w:rsidP="0005094B">
            <w:pPr>
              <w:rPr>
                <w:rFonts w:cstheme="minorHAnsi"/>
                <w:sz w:val="20"/>
                <w:szCs w:val="20"/>
              </w:rPr>
            </w:pPr>
            <w:r w:rsidRPr="0091564D">
              <w:rPr>
                <w:rFonts w:cstheme="minorHAnsi"/>
                <w:sz w:val="20"/>
                <w:szCs w:val="20"/>
              </w:rPr>
              <w:t xml:space="preserve">27 &amp; 28 October 2015 </w:t>
            </w:r>
          </w:p>
        </w:tc>
        <w:tc>
          <w:tcPr>
            <w:tcW w:w="953" w:type="dxa"/>
            <w:tcBorders>
              <w:top w:val="nil"/>
              <w:left w:val="nil"/>
              <w:bottom w:val="single" w:sz="4" w:space="0" w:color="auto"/>
              <w:right w:val="single" w:sz="4" w:space="0" w:color="auto"/>
            </w:tcBorders>
            <w:shd w:val="clear" w:color="auto" w:fill="auto"/>
            <w:vAlign w:val="center"/>
          </w:tcPr>
          <w:p w:rsidR="009116FA" w:rsidRPr="0091564D" w:rsidRDefault="009116FA" w:rsidP="0005094B">
            <w:pPr>
              <w:rPr>
                <w:rFonts w:cstheme="minorHAnsi"/>
                <w:sz w:val="20"/>
                <w:szCs w:val="20"/>
              </w:rPr>
            </w:pPr>
            <w:r w:rsidRPr="0091564D">
              <w:rPr>
                <w:rFonts w:cstheme="minorHAnsi"/>
                <w:sz w:val="20"/>
                <w:szCs w:val="20"/>
              </w:rPr>
              <w:t xml:space="preserve">2 days </w:t>
            </w:r>
          </w:p>
        </w:tc>
        <w:tc>
          <w:tcPr>
            <w:tcW w:w="1238" w:type="dxa"/>
            <w:tcBorders>
              <w:top w:val="nil"/>
              <w:left w:val="nil"/>
              <w:bottom w:val="single" w:sz="4" w:space="0" w:color="auto"/>
              <w:right w:val="single" w:sz="4" w:space="0" w:color="auto"/>
            </w:tcBorders>
            <w:shd w:val="clear" w:color="auto" w:fill="auto"/>
            <w:vAlign w:val="center"/>
          </w:tcPr>
          <w:p w:rsidR="009116FA" w:rsidRPr="0091564D" w:rsidRDefault="009116FA" w:rsidP="0005094B">
            <w:pPr>
              <w:rPr>
                <w:rFonts w:cstheme="minorHAnsi"/>
                <w:sz w:val="20"/>
                <w:szCs w:val="20"/>
              </w:rPr>
            </w:pPr>
            <w:r w:rsidRPr="0091564D">
              <w:rPr>
                <w:rFonts w:cstheme="minorHAnsi"/>
                <w:sz w:val="20"/>
                <w:szCs w:val="20"/>
              </w:rPr>
              <w:t>15</w:t>
            </w:r>
          </w:p>
        </w:tc>
        <w:tc>
          <w:tcPr>
            <w:tcW w:w="1701" w:type="dxa"/>
            <w:tcBorders>
              <w:top w:val="nil"/>
              <w:left w:val="nil"/>
              <w:bottom w:val="single" w:sz="4" w:space="0" w:color="auto"/>
              <w:right w:val="single" w:sz="4" w:space="0" w:color="auto"/>
            </w:tcBorders>
            <w:shd w:val="clear" w:color="auto" w:fill="auto"/>
            <w:vAlign w:val="center"/>
          </w:tcPr>
          <w:p w:rsidR="009116FA" w:rsidRPr="0091564D" w:rsidRDefault="009116FA" w:rsidP="0005094B">
            <w:pPr>
              <w:rPr>
                <w:rFonts w:cstheme="minorHAnsi"/>
                <w:sz w:val="20"/>
                <w:szCs w:val="20"/>
              </w:rPr>
            </w:pPr>
            <w:r w:rsidRPr="0091564D">
              <w:rPr>
                <w:rFonts w:cstheme="minorHAnsi"/>
                <w:sz w:val="20"/>
                <w:szCs w:val="20"/>
              </w:rPr>
              <w:t>Stratified sampling</w:t>
            </w:r>
          </w:p>
        </w:tc>
      </w:tr>
      <w:tr w:rsidR="009116FA" w:rsidTr="0005094B">
        <w:tc>
          <w:tcPr>
            <w:tcW w:w="509" w:type="dxa"/>
            <w:shd w:val="clear" w:color="auto" w:fill="ABD9F8" w:themeFill="accent1" w:themeFillTint="66"/>
            <w:vAlign w:val="center"/>
          </w:tcPr>
          <w:p w:rsidR="009116FA" w:rsidRPr="0049642F" w:rsidRDefault="009116FA" w:rsidP="0005094B">
            <w:pPr>
              <w:rPr>
                <w:rFonts w:cstheme="minorHAnsi"/>
                <w:b/>
                <w:i/>
                <w:sz w:val="20"/>
                <w:szCs w:val="20"/>
              </w:rPr>
            </w:pPr>
            <w:r w:rsidRPr="0049642F">
              <w:rPr>
                <w:rFonts w:cstheme="minorHAnsi"/>
                <w:b/>
                <w:i/>
                <w:sz w:val="20"/>
                <w:szCs w:val="20"/>
              </w:rPr>
              <w:t>44</w:t>
            </w:r>
          </w:p>
        </w:tc>
        <w:tc>
          <w:tcPr>
            <w:tcW w:w="3018" w:type="dxa"/>
            <w:tcBorders>
              <w:top w:val="nil"/>
              <w:left w:val="single" w:sz="4" w:space="0" w:color="auto"/>
              <w:bottom w:val="single" w:sz="4" w:space="0" w:color="auto"/>
              <w:right w:val="single" w:sz="4" w:space="0" w:color="auto"/>
            </w:tcBorders>
            <w:shd w:val="clear" w:color="auto" w:fill="ABD9F8" w:themeFill="accent1" w:themeFillTint="66"/>
            <w:vAlign w:val="center"/>
          </w:tcPr>
          <w:p w:rsidR="009116FA" w:rsidRPr="0091564D" w:rsidRDefault="009116FA" w:rsidP="0005094B">
            <w:pPr>
              <w:rPr>
                <w:rFonts w:cstheme="minorHAnsi"/>
                <w:sz w:val="20"/>
                <w:szCs w:val="20"/>
              </w:rPr>
            </w:pPr>
            <w:r w:rsidRPr="0091564D">
              <w:rPr>
                <w:rFonts w:cstheme="minorHAnsi"/>
                <w:sz w:val="20"/>
                <w:szCs w:val="20"/>
              </w:rPr>
              <w:t>Proposed use of health data</w:t>
            </w:r>
          </w:p>
        </w:tc>
        <w:tc>
          <w:tcPr>
            <w:tcW w:w="946" w:type="dxa"/>
            <w:tcBorders>
              <w:top w:val="nil"/>
              <w:left w:val="nil"/>
              <w:bottom w:val="single" w:sz="4" w:space="0" w:color="auto"/>
              <w:right w:val="single" w:sz="4" w:space="0" w:color="auto"/>
            </w:tcBorders>
            <w:shd w:val="clear" w:color="auto" w:fill="ABD9F8" w:themeFill="accent1" w:themeFillTint="66"/>
            <w:vAlign w:val="center"/>
          </w:tcPr>
          <w:p w:rsidR="009116FA" w:rsidRPr="0091564D" w:rsidRDefault="009116FA" w:rsidP="0005094B">
            <w:pPr>
              <w:rPr>
                <w:rFonts w:cstheme="minorHAnsi"/>
                <w:sz w:val="20"/>
                <w:szCs w:val="20"/>
              </w:rPr>
            </w:pPr>
            <w:r w:rsidRPr="0091564D">
              <w:rPr>
                <w:rFonts w:cstheme="minorHAnsi"/>
                <w:sz w:val="20"/>
                <w:szCs w:val="20"/>
              </w:rPr>
              <w:t xml:space="preserve">Citizen Jury </w:t>
            </w:r>
          </w:p>
        </w:tc>
        <w:tc>
          <w:tcPr>
            <w:tcW w:w="2146" w:type="dxa"/>
            <w:tcBorders>
              <w:top w:val="nil"/>
              <w:left w:val="nil"/>
              <w:bottom w:val="single" w:sz="4" w:space="0" w:color="auto"/>
              <w:right w:val="single" w:sz="4" w:space="0" w:color="auto"/>
            </w:tcBorders>
            <w:shd w:val="clear" w:color="auto" w:fill="ABD9F8" w:themeFill="accent1" w:themeFillTint="66"/>
            <w:vAlign w:val="center"/>
          </w:tcPr>
          <w:p w:rsidR="009116FA" w:rsidRPr="0091564D" w:rsidRDefault="009116FA" w:rsidP="0005094B">
            <w:pPr>
              <w:rPr>
                <w:rFonts w:cstheme="minorHAnsi"/>
                <w:sz w:val="20"/>
                <w:szCs w:val="20"/>
              </w:rPr>
            </w:pPr>
            <w:r w:rsidRPr="0091564D">
              <w:rPr>
                <w:rFonts w:cstheme="minorHAnsi"/>
                <w:sz w:val="20"/>
                <w:szCs w:val="20"/>
              </w:rPr>
              <w:t>Manchester &amp; York</w:t>
            </w:r>
          </w:p>
        </w:tc>
        <w:tc>
          <w:tcPr>
            <w:tcW w:w="688" w:type="dxa"/>
            <w:tcBorders>
              <w:top w:val="nil"/>
              <w:left w:val="nil"/>
              <w:bottom w:val="single" w:sz="4" w:space="0" w:color="auto"/>
              <w:right w:val="single" w:sz="4" w:space="0" w:color="auto"/>
            </w:tcBorders>
            <w:shd w:val="clear" w:color="auto" w:fill="ABD9F8" w:themeFill="accent1" w:themeFillTint="66"/>
            <w:vAlign w:val="center"/>
          </w:tcPr>
          <w:p w:rsidR="009116FA" w:rsidRPr="0091564D" w:rsidRDefault="009116FA" w:rsidP="0005094B">
            <w:pPr>
              <w:rPr>
                <w:rFonts w:cstheme="minorHAnsi"/>
                <w:sz w:val="20"/>
                <w:szCs w:val="20"/>
              </w:rPr>
            </w:pPr>
            <w:r w:rsidRPr="0091564D">
              <w:rPr>
                <w:rFonts w:cstheme="minorHAnsi"/>
                <w:sz w:val="20"/>
                <w:szCs w:val="20"/>
              </w:rPr>
              <w:t>2 &amp; 9 November 2016</w:t>
            </w:r>
          </w:p>
        </w:tc>
        <w:tc>
          <w:tcPr>
            <w:tcW w:w="953" w:type="dxa"/>
            <w:tcBorders>
              <w:top w:val="nil"/>
              <w:left w:val="nil"/>
              <w:bottom w:val="single" w:sz="4" w:space="0" w:color="auto"/>
              <w:right w:val="single" w:sz="4" w:space="0" w:color="auto"/>
            </w:tcBorders>
            <w:shd w:val="clear" w:color="auto" w:fill="ABD9F8" w:themeFill="accent1" w:themeFillTint="66"/>
            <w:vAlign w:val="center"/>
          </w:tcPr>
          <w:p w:rsidR="009116FA" w:rsidRPr="0091564D" w:rsidRDefault="009116FA" w:rsidP="0005094B">
            <w:pPr>
              <w:rPr>
                <w:rFonts w:cstheme="minorHAnsi"/>
                <w:sz w:val="20"/>
                <w:szCs w:val="20"/>
              </w:rPr>
            </w:pPr>
            <w:r w:rsidRPr="0091564D">
              <w:rPr>
                <w:rFonts w:cstheme="minorHAnsi"/>
                <w:sz w:val="20"/>
                <w:szCs w:val="20"/>
              </w:rPr>
              <w:t>4 days per Jury</w:t>
            </w:r>
          </w:p>
        </w:tc>
        <w:tc>
          <w:tcPr>
            <w:tcW w:w="1238" w:type="dxa"/>
            <w:tcBorders>
              <w:top w:val="nil"/>
              <w:left w:val="nil"/>
              <w:bottom w:val="single" w:sz="4" w:space="0" w:color="auto"/>
              <w:right w:val="single" w:sz="4" w:space="0" w:color="auto"/>
            </w:tcBorders>
            <w:shd w:val="clear" w:color="auto" w:fill="ABD9F8" w:themeFill="accent1" w:themeFillTint="66"/>
            <w:vAlign w:val="center"/>
          </w:tcPr>
          <w:p w:rsidR="009116FA" w:rsidRPr="0091564D" w:rsidRDefault="009116FA" w:rsidP="0005094B">
            <w:pPr>
              <w:rPr>
                <w:rFonts w:cstheme="minorHAnsi"/>
                <w:sz w:val="20"/>
                <w:szCs w:val="20"/>
              </w:rPr>
            </w:pPr>
            <w:r w:rsidRPr="0091564D">
              <w:rPr>
                <w:rFonts w:cstheme="minorHAnsi"/>
                <w:sz w:val="20"/>
                <w:szCs w:val="20"/>
              </w:rPr>
              <w:t>36 (18 at each Jury)</w:t>
            </w:r>
          </w:p>
        </w:tc>
        <w:tc>
          <w:tcPr>
            <w:tcW w:w="1701" w:type="dxa"/>
            <w:tcBorders>
              <w:top w:val="nil"/>
              <w:left w:val="nil"/>
              <w:bottom w:val="single" w:sz="4" w:space="0" w:color="auto"/>
              <w:right w:val="single" w:sz="4" w:space="0" w:color="auto"/>
            </w:tcBorders>
            <w:shd w:val="clear" w:color="auto" w:fill="ABD9F8" w:themeFill="accent1" w:themeFillTint="66"/>
            <w:vAlign w:val="center"/>
          </w:tcPr>
          <w:p w:rsidR="009116FA" w:rsidRPr="0091564D" w:rsidRDefault="009116FA" w:rsidP="0005094B">
            <w:pPr>
              <w:rPr>
                <w:rFonts w:cstheme="minorHAnsi"/>
                <w:sz w:val="20"/>
                <w:szCs w:val="20"/>
              </w:rPr>
            </w:pPr>
            <w:r w:rsidRPr="0091564D">
              <w:rPr>
                <w:rFonts w:cstheme="minorHAnsi"/>
                <w:sz w:val="20"/>
                <w:szCs w:val="20"/>
              </w:rPr>
              <w:t>694 people applied to be jurors.</w:t>
            </w:r>
          </w:p>
        </w:tc>
      </w:tr>
      <w:tr w:rsidR="009116FA" w:rsidTr="0005094B">
        <w:tc>
          <w:tcPr>
            <w:tcW w:w="509" w:type="dxa"/>
            <w:vAlign w:val="center"/>
          </w:tcPr>
          <w:p w:rsidR="009116FA" w:rsidRPr="0049642F" w:rsidRDefault="009116FA" w:rsidP="0005094B">
            <w:pPr>
              <w:rPr>
                <w:rFonts w:cstheme="minorHAnsi"/>
                <w:b/>
                <w:i/>
                <w:sz w:val="20"/>
                <w:szCs w:val="20"/>
              </w:rPr>
            </w:pPr>
            <w:r w:rsidRPr="0049642F">
              <w:rPr>
                <w:rFonts w:cstheme="minorHAnsi"/>
                <w:b/>
                <w:i/>
                <w:sz w:val="20"/>
                <w:szCs w:val="20"/>
              </w:rPr>
              <w:t>45</w:t>
            </w:r>
          </w:p>
        </w:tc>
        <w:tc>
          <w:tcPr>
            <w:tcW w:w="3018" w:type="dxa"/>
            <w:tcBorders>
              <w:top w:val="nil"/>
              <w:left w:val="single" w:sz="4" w:space="0" w:color="auto"/>
              <w:bottom w:val="single" w:sz="4" w:space="0" w:color="auto"/>
              <w:right w:val="single" w:sz="4" w:space="0" w:color="auto"/>
            </w:tcBorders>
            <w:shd w:val="clear" w:color="auto" w:fill="auto"/>
            <w:vAlign w:val="center"/>
          </w:tcPr>
          <w:p w:rsidR="009116FA" w:rsidRPr="0091564D" w:rsidRDefault="009116FA" w:rsidP="0005094B">
            <w:pPr>
              <w:rPr>
                <w:rFonts w:cstheme="minorHAnsi"/>
                <w:sz w:val="20"/>
                <w:szCs w:val="20"/>
              </w:rPr>
            </w:pPr>
            <w:r w:rsidRPr="0091564D">
              <w:rPr>
                <w:rFonts w:cstheme="minorHAnsi"/>
                <w:sz w:val="20"/>
                <w:szCs w:val="20"/>
              </w:rPr>
              <w:t>Build Phase of NHS Citizen</w:t>
            </w:r>
          </w:p>
        </w:tc>
        <w:tc>
          <w:tcPr>
            <w:tcW w:w="946" w:type="dxa"/>
            <w:tcBorders>
              <w:top w:val="nil"/>
              <w:left w:val="nil"/>
              <w:bottom w:val="single" w:sz="4" w:space="0" w:color="auto"/>
              <w:right w:val="single" w:sz="4" w:space="0" w:color="auto"/>
            </w:tcBorders>
            <w:shd w:val="clear" w:color="auto" w:fill="auto"/>
            <w:vAlign w:val="center"/>
          </w:tcPr>
          <w:p w:rsidR="009116FA" w:rsidRPr="0091564D" w:rsidRDefault="009116FA" w:rsidP="0005094B">
            <w:pPr>
              <w:rPr>
                <w:rFonts w:cstheme="minorHAnsi"/>
                <w:sz w:val="20"/>
                <w:szCs w:val="20"/>
              </w:rPr>
            </w:pPr>
            <w:r w:rsidRPr="0091564D">
              <w:rPr>
                <w:rFonts w:cstheme="minorHAnsi"/>
                <w:sz w:val="20"/>
                <w:szCs w:val="20"/>
              </w:rPr>
              <w:t>Citizen Assembly</w:t>
            </w:r>
          </w:p>
        </w:tc>
        <w:tc>
          <w:tcPr>
            <w:tcW w:w="2146" w:type="dxa"/>
            <w:tcBorders>
              <w:top w:val="nil"/>
              <w:left w:val="nil"/>
              <w:bottom w:val="single" w:sz="4" w:space="0" w:color="auto"/>
              <w:right w:val="single" w:sz="4" w:space="0" w:color="auto"/>
            </w:tcBorders>
            <w:shd w:val="clear" w:color="auto" w:fill="auto"/>
            <w:vAlign w:val="center"/>
          </w:tcPr>
          <w:p w:rsidR="009116FA" w:rsidRPr="0091564D" w:rsidRDefault="009116FA" w:rsidP="0005094B">
            <w:pPr>
              <w:rPr>
                <w:rFonts w:cstheme="minorHAnsi"/>
                <w:sz w:val="20"/>
                <w:szCs w:val="20"/>
              </w:rPr>
            </w:pPr>
            <w:r w:rsidRPr="0091564D">
              <w:rPr>
                <w:rFonts w:cstheme="minorHAnsi"/>
                <w:sz w:val="20"/>
                <w:szCs w:val="20"/>
              </w:rPr>
              <w:t>East London</w:t>
            </w:r>
          </w:p>
        </w:tc>
        <w:tc>
          <w:tcPr>
            <w:tcW w:w="688" w:type="dxa"/>
            <w:tcBorders>
              <w:top w:val="nil"/>
              <w:left w:val="nil"/>
              <w:bottom w:val="single" w:sz="4" w:space="0" w:color="auto"/>
              <w:right w:val="single" w:sz="4" w:space="0" w:color="auto"/>
            </w:tcBorders>
            <w:shd w:val="clear" w:color="auto" w:fill="auto"/>
            <w:vAlign w:val="center"/>
          </w:tcPr>
          <w:p w:rsidR="009116FA" w:rsidRPr="0091564D" w:rsidRDefault="009116FA" w:rsidP="0005094B">
            <w:pPr>
              <w:rPr>
                <w:rFonts w:cstheme="minorHAnsi"/>
                <w:sz w:val="20"/>
                <w:szCs w:val="20"/>
              </w:rPr>
            </w:pPr>
            <w:r w:rsidRPr="0091564D">
              <w:rPr>
                <w:rFonts w:cstheme="minorHAnsi"/>
                <w:sz w:val="20"/>
                <w:szCs w:val="20"/>
              </w:rPr>
              <w:t>25-Nov-15</w:t>
            </w:r>
          </w:p>
        </w:tc>
        <w:tc>
          <w:tcPr>
            <w:tcW w:w="953" w:type="dxa"/>
            <w:tcBorders>
              <w:top w:val="nil"/>
              <w:left w:val="nil"/>
              <w:bottom w:val="single" w:sz="4" w:space="0" w:color="auto"/>
              <w:right w:val="single" w:sz="4" w:space="0" w:color="auto"/>
            </w:tcBorders>
            <w:shd w:val="clear" w:color="auto" w:fill="auto"/>
            <w:vAlign w:val="center"/>
          </w:tcPr>
          <w:p w:rsidR="009116FA" w:rsidRPr="0091564D" w:rsidRDefault="009116FA" w:rsidP="0005094B">
            <w:pPr>
              <w:rPr>
                <w:rFonts w:cstheme="minorHAnsi"/>
                <w:sz w:val="20"/>
                <w:szCs w:val="20"/>
              </w:rPr>
            </w:pPr>
            <w:r w:rsidRPr="0091564D">
              <w:rPr>
                <w:rFonts w:cstheme="minorHAnsi"/>
                <w:sz w:val="20"/>
                <w:szCs w:val="20"/>
              </w:rPr>
              <w:t>1 day</w:t>
            </w:r>
          </w:p>
        </w:tc>
        <w:tc>
          <w:tcPr>
            <w:tcW w:w="1238" w:type="dxa"/>
            <w:tcBorders>
              <w:top w:val="nil"/>
              <w:left w:val="nil"/>
              <w:bottom w:val="single" w:sz="4" w:space="0" w:color="auto"/>
              <w:right w:val="single" w:sz="4" w:space="0" w:color="auto"/>
            </w:tcBorders>
            <w:shd w:val="clear" w:color="auto" w:fill="auto"/>
            <w:vAlign w:val="center"/>
          </w:tcPr>
          <w:p w:rsidR="009116FA" w:rsidRPr="0091564D" w:rsidRDefault="009116FA" w:rsidP="0005094B">
            <w:pPr>
              <w:rPr>
                <w:rFonts w:cstheme="minorHAnsi"/>
                <w:sz w:val="20"/>
                <w:szCs w:val="20"/>
              </w:rPr>
            </w:pPr>
            <w:r w:rsidRPr="0091564D">
              <w:rPr>
                <w:rFonts w:cstheme="minorHAnsi"/>
                <w:sz w:val="20"/>
                <w:szCs w:val="20"/>
              </w:rPr>
              <w:t>250 participants</w:t>
            </w:r>
          </w:p>
        </w:tc>
        <w:tc>
          <w:tcPr>
            <w:tcW w:w="1701" w:type="dxa"/>
            <w:tcBorders>
              <w:top w:val="nil"/>
              <w:left w:val="nil"/>
              <w:bottom w:val="single" w:sz="4" w:space="0" w:color="auto"/>
              <w:right w:val="single" w:sz="4" w:space="0" w:color="auto"/>
            </w:tcBorders>
            <w:shd w:val="clear" w:color="auto" w:fill="auto"/>
            <w:vAlign w:val="center"/>
          </w:tcPr>
          <w:p w:rsidR="009116FA" w:rsidRPr="0091564D" w:rsidRDefault="009116FA" w:rsidP="0005094B">
            <w:pPr>
              <w:rPr>
                <w:rFonts w:cstheme="minorHAnsi"/>
                <w:sz w:val="20"/>
                <w:szCs w:val="20"/>
              </w:rPr>
            </w:pPr>
            <w:r w:rsidRPr="0091564D">
              <w:rPr>
                <w:rFonts w:cstheme="minorHAnsi"/>
                <w:sz w:val="20"/>
                <w:szCs w:val="20"/>
              </w:rPr>
              <w:t>Voluntary members, elected or nominated representatives, random stratified sampling or purposeful sampling.</w:t>
            </w:r>
          </w:p>
        </w:tc>
      </w:tr>
      <w:tr w:rsidR="009116FA" w:rsidTr="0005094B">
        <w:tc>
          <w:tcPr>
            <w:tcW w:w="509" w:type="dxa"/>
            <w:shd w:val="clear" w:color="auto" w:fill="ABD9F8" w:themeFill="accent1" w:themeFillTint="66"/>
            <w:vAlign w:val="center"/>
          </w:tcPr>
          <w:p w:rsidR="009116FA" w:rsidRPr="0049642F" w:rsidRDefault="009116FA" w:rsidP="0005094B">
            <w:pPr>
              <w:rPr>
                <w:rFonts w:cstheme="minorHAnsi"/>
                <w:b/>
                <w:i/>
                <w:sz w:val="20"/>
                <w:szCs w:val="20"/>
              </w:rPr>
            </w:pPr>
            <w:r w:rsidRPr="0049642F">
              <w:rPr>
                <w:rFonts w:cstheme="minorHAnsi"/>
                <w:b/>
                <w:i/>
                <w:sz w:val="20"/>
                <w:szCs w:val="20"/>
              </w:rPr>
              <w:t>46</w:t>
            </w:r>
          </w:p>
        </w:tc>
        <w:tc>
          <w:tcPr>
            <w:tcW w:w="3018" w:type="dxa"/>
            <w:tcBorders>
              <w:top w:val="nil"/>
              <w:left w:val="single" w:sz="4" w:space="0" w:color="auto"/>
              <w:bottom w:val="single" w:sz="4" w:space="0" w:color="auto"/>
              <w:right w:val="single" w:sz="4" w:space="0" w:color="auto"/>
            </w:tcBorders>
            <w:shd w:val="clear" w:color="auto" w:fill="ABD9F8" w:themeFill="accent1" w:themeFillTint="66"/>
            <w:vAlign w:val="center"/>
          </w:tcPr>
          <w:p w:rsidR="009116FA" w:rsidRPr="0091564D" w:rsidRDefault="009116FA" w:rsidP="0005094B">
            <w:pPr>
              <w:rPr>
                <w:rFonts w:cstheme="minorHAnsi"/>
                <w:sz w:val="20"/>
                <w:szCs w:val="20"/>
              </w:rPr>
            </w:pPr>
            <w:r w:rsidRPr="0091564D">
              <w:rPr>
                <w:rFonts w:cstheme="minorHAnsi"/>
                <w:sz w:val="20"/>
                <w:szCs w:val="20"/>
              </w:rPr>
              <w:t>Inaugural NHS Citizen Assembly</w:t>
            </w:r>
          </w:p>
        </w:tc>
        <w:tc>
          <w:tcPr>
            <w:tcW w:w="946" w:type="dxa"/>
            <w:tcBorders>
              <w:top w:val="nil"/>
              <w:left w:val="nil"/>
              <w:bottom w:val="single" w:sz="4" w:space="0" w:color="auto"/>
              <w:right w:val="single" w:sz="4" w:space="0" w:color="auto"/>
            </w:tcBorders>
            <w:shd w:val="clear" w:color="auto" w:fill="ABD9F8" w:themeFill="accent1" w:themeFillTint="66"/>
            <w:vAlign w:val="center"/>
          </w:tcPr>
          <w:p w:rsidR="009116FA" w:rsidRPr="0091564D" w:rsidRDefault="009116FA" w:rsidP="0005094B">
            <w:pPr>
              <w:rPr>
                <w:rFonts w:cstheme="minorHAnsi"/>
                <w:sz w:val="20"/>
                <w:szCs w:val="20"/>
              </w:rPr>
            </w:pPr>
            <w:r w:rsidRPr="0091564D">
              <w:rPr>
                <w:rFonts w:cstheme="minorHAnsi"/>
                <w:sz w:val="20"/>
                <w:szCs w:val="20"/>
              </w:rPr>
              <w:t>Citizen Assemblies</w:t>
            </w:r>
          </w:p>
        </w:tc>
        <w:tc>
          <w:tcPr>
            <w:tcW w:w="2146" w:type="dxa"/>
            <w:tcBorders>
              <w:top w:val="nil"/>
              <w:left w:val="nil"/>
              <w:bottom w:val="single" w:sz="4" w:space="0" w:color="auto"/>
              <w:right w:val="single" w:sz="4" w:space="0" w:color="auto"/>
            </w:tcBorders>
            <w:shd w:val="clear" w:color="auto" w:fill="ABD9F8" w:themeFill="accent1" w:themeFillTint="66"/>
            <w:vAlign w:val="center"/>
          </w:tcPr>
          <w:p w:rsidR="009116FA" w:rsidRPr="0091564D" w:rsidRDefault="009116FA" w:rsidP="0005094B">
            <w:pPr>
              <w:rPr>
                <w:rFonts w:cstheme="minorHAnsi"/>
                <w:sz w:val="20"/>
                <w:szCs w:val="20"/>
              </w:rPr>
            </w:pPr>
            <w:r w:rsidRPr="0091564D">
              <w:rPr>
                <w:rFonts w:cstheme="minorHAnsi"/>
                <w:sz w:val="20"/>
                <w:szCs w:val="20"/>
              </w:rPr>
              <w:t>Westminster, London</w:t>
            </w:r>
          </w:p>
        </w:tc>
        <w:tc>
          <w:tcPr>
            <w:tcW w:w="688" w:type="dxa"/>
            <w:tcBorders>
              <w:top w:val="nil"/>
              <w:left w:val="nil"/>
              <w:bottom w:val="single" w:sz="4" w:space="0" w:color="auto"/>
              <w:right w:val="single" w:sz="4" w:space="0" w:color="auto"/>
            </w:tcBorders>
            <w:shd w:val="clear" w:color="auto" w:fill="ABD9F8" w:themeFill="accent1" w:themeFillTint="66"/>
            <w:vAlign w:val="center"/>
          </w:tcPr>
          <w:p w:rsidR="009116FA" w:rsidRPr="0091564D" w:rsidRDefault="009116FA" w:rsidP="0005094B">
            <w:pPr>
              <w:rPr>
                <w:rFonts w:cstheme="minorHAnsi"/>
                <w:sz w:val="20"/>
                <w:szCs w:val="20"/>
              </w:rPr>
            </w:pPr>
            <w:r w:rsidRPr="0091564D">
              <w:rPr>
                <w:rFonts w:cstheme="minorHAnsi"/>
                <w:sz w:val="20"/>
                <w:szCs w:val="20"/>
              </w:rPr>
              <w:t>18-Sep-14</w:t>
            </w:r>
          </w:p>
        </w:tc>
        <w:tc>
          <w:tcPr>
            <w:tcW w:w="953" w:type="dxa"/>
            <w:tcBorders>
              <w:top w:val="nil"/>
              <w:left w:val="nil"/>
              <w:bottom w:val="single" w:sz="4" w:space="0" w:color="auto"/>
              <w:right w:val="single" w:sz="4" w:space="0" w:color="auto"/>
            </w:tcBorders>
            <w:shd w:val="clear" w:color="auto" w:fill="ABD9F8" w:themeFill="accent1" w:themeFillTint="66"/>
            <w:vAlign w:val="center"/>
          </w:tcPr>
          <w:p w:rsidR="009116FA" w:rsidRPr="0091564D" w:rsidRDefault="009116FA" w:rsidP="0005094B">
            <w:pPr>
              <w:rPr>
                <w:rFonts w:cstheme="minorHAnsi"/>
                <w:sz w:val="20"/>
                <w:szCs w:val="20"/>
              </w:rPr>
            </w:pPr>
            <w:r w:rsidRPr="0091564D">
              <w:rPr>
                <w:rFonts w:cstheme="minorHAnsi"/>
                <w:sz w:val="20"/>
                <w:szCs w:val="20"/>
              </w:rPr>
              <w:t>1 day</w:t>
            </w:r>
          </w:p>
        </w:tc>
        <w:tc>
          <w:tcPr>
            <w:tcW w:w="1238" w:type="dxa"/>
            <w:tcBorders>
              <w:top w:val="nil"/>
              <w:left w:val="nil"/>
              <w:bottom w:val="single" w:sz="4" w:space="0" w:color="auto"/>
              <w:right w:val="single" w:sz="4" w:space="0" w:color="auto"/>
            </w:tcBorders>
            <w:shd w:val="clear" w:color="auto" w:fill="ABD9F8" w:themeFill="accent1" w:themeFillTint="66"/>
            <w:vAlign w:val="center"/>
          </w:tcPr>
          <w:p w:rsidR="009116FA" w:rsidRPr="0091564D" w:rsidRDefault="009116FA" w:rsidP="0005094B">
            <w:pPr>
              <w:rPr>
                <w:rFonts w:cstheme="minorHAnsi"/>
                <w:sz w:val="20"/>
                <w:szCs w:val="20"/>
              </w:rPr>
            </w:pPr>
            <w:r w:rsidRPr="0091564D">
              <w:rPr>
                <w:rFonts w:cstheme="minorHAnsi"/>
                <w:sz w:val="20"/>
                <w:szCs w:val="20"/>
              </w:rPr>
              <w:t>200</w:t>
            </w:r>
          </w:p>
        </w:tc>
        <w:tc>
          <w:tcPr>
            <w:tcW w:w="1701" w:type="dxa"/>
            <w:tcBorders>
              <w:top w:val="nil"/>
              <w:left w:val="nil"/>
              <w:bottom w:val="single" w:sz="4" w:space="0" w:color="auto"/>
              <w:right w:val="single" w:sz="4" w:space="0" w:color="auto"/>
            </w:tcBorders>
            <w:shd w:val="clear" w:color="auto" w:fill="ABD9F8" w:themeFill="accent1" w:themeFillTint="66"/>
            <w:vAlign w:val="center"/>
          </w:tcPr>
          <w:p w:rsidR="009116FA" w:rsidRPr="0091564D" w:rsidRDefault="009116FA" w:rsidP="0005094B">
            <w:pPr>
              <w:rPr>
                <w:rFonts w:cstheme="minorHAnsi"/>
                <w:sz w:val="20"/>
                <w:szCs w:val="20"/>
              </w:rPr>
            </w:pPr>
            <w:r w:rsidRPr="0091564D">
              <w:rPr>
                <w:rFonts w:cstheme="minorHAnsi"/>
                <w:sz w:val="20"/>
                <w:szCs w:val="20"/>
              </w:rPr>
              <w:t>200 patients, carers, activists, volunteers, voluntary sector and public service workers</w:t>
            </w:r>
          </w:p>
        </w:tc>
      </w:tr>
      <w:tr w:rsidR="009116FA" w:rsidTr="0005094B">
        <w:tc>
          <w:tcPr>
            <w:tcW w:w="509" w:type="dxa"/>
            <w:vAlign w:val="center"/>
          </w:tcPr>
          <w:p w:rsidR="009116FA" w:rsidRPr="0049642F" w:rsidRDefault="009116FA" w:rsidP="0005094B">
            <w:pPr>
              <w:rPr>
                <w:rFonts w:cstheme="minorHAnsi"/>
                <w:b/>
                <w:i/>
                <w:sz w:val="20"/>
                <w:szCs w:val="20"/>
              </w:rPr>
            </w:pPr>
            <w:r w:rsidRPr="0049642F">
              <w:rPr>
                <w:rFonts w:cstheme="minorHAnsi"/>
                <w:b/>
                <w:i/>
                <w:sz w:val="20"/>
                <w:szCs w:val="20"/>
              </w:rPr>
              <w:t>47</w:t>
            </w:r>
          </w:p>
        </w:tc>
        <w:tc>
          <w:tcPr>
            <w:tcW w:w="3018" w:type="dxa"/>
            <w:tcBorders>
              <w:top w:val="nil"/>
              <w:left w:val="single" w:sz="4" w:space="0" w:color="auto"/>
              <w:bottom w:val="single" w:sz="4" w:space="0" w:color="auto"/>
              <w:right w:val="single" w:sz="4" w:space="0" w:color="auto"/>
            </w:tcBorders>
            <w:shd w:val="clear" w:color="auto" w:fill="auto"/>
            <w:vAlign w:val="center"/>
          </w:tcPr>
          <w:p w:rsidR="009116FA" w:rsidRPr="0091564D" w:rsidRDefault="009116FA" w:rsidP="0005094B">
            <w:pPr>
              <w:rPr>
                <w:rFonts w:cstheme="minorHAnsi"/>
                <w:sz w:val="20"/>
                <w:szCs w:val="20"/>
              </w:rPr>
            </w:pPr>
            <w:r w:rsidRPr="0091564D">
              <w:rPr>
                <w:rFonts w:cstheme="minorHAnsi"/>
                <w:sz w:val="20"/>
                <w:szCs w:val="20"/>
              </w:rPr>
              <w:t>Community bonfires</w:t>
            </w:r>
          </w:p>
        </w:tc>
        <w:tc>
          <w:tcPr>
            <w:tcW w:w="946" w:type="dxa"/>
            <w:tcBorders>
              <w:top w:val="nil"/>
              <w:left w:val="nil"/>
              <w:bottom w:val="single" w:sz="4" w:space="0" w:color="auto"/>
              <w:right w:val="single" w:sz="4" w:space="0" w:color="auto"/>
            </w:tcBorders>
            <w:shd w:val="clear" w:color="auto" w:fill="auto"/>
            <w:vAlign w:val="center"/>
          </w:tcPr>
          <w:p w:rsidR="009116FA" w:rsidRPr="0091564D" w:rsidRDefault="009116FA" w:rsidP="0005094B">
            <w:pPr>
              <w:rPr>
                <w:rFonts w:cstheme="minorHAnsi"/>
                <w:sz w:val="20"/>
                <w:szCs w:val="20"/>
              </w:rPr>
            </w:pPr>
            <w:r w:rsidRPr="0091564D">
              <w:rPr>
                <w:rFonts w:cstheme="minorHAnsi"/>
                <w:sz w:val="20"/>
                <w:szCs w:val="20"/>
              </w:rPr>
              <w:t xml:space="preserve">Citizen Jury </w:t>
            </w:r>
          </w:p>
        </w:tc>
        <w:tc>
          <w:tcPr>
            <w:tcW w:w="2146" w:type="dxa"/>
            <w:tcBorders>
              <w:top w:val="nil"/>
              <w:left w:val="nil"/>
              <w:bottom w:val="single" w:sz="4" w:space="0" w:color="auto"/>
              <w:right w:val="single" w:sz="4" w:space="0" w:color="auto"/>
            </w:tcBorders>
            <w:shd w:val="clear" w:color="auto" w:fill="auto"/>
            <w:vAlign w:val="center"/>
          </w:tcPr>
          <w:p w:rsidR="009116FA" w:rsidRPr="0091564D" w:rsidRDefault="009116FA" w:rsidP="0005094B">
            <w:pPr>
              <w:rPr>
                <w:rFonts w:cstheme="minorHAnsi"/>
                <w:sz w:val="20"/>
                <w:szCs w:val="20"/>
              </w:rPr>
            </w:pPr>
            <w:r w:rsidRPr="0091564D">
              <w:rPr>
                <w:rFonts w:cstheme="minorHAnsi"/>
                <w:sz w:val="20"/>
                <w:szCs w:val="20"/>
              </w:rPr>
              <w:t>North East Scotland</w:t>
            </w:r>
          </w:p>
        </w:tc>
        <w:tc>
          <w:tcPr>
            <w:tcW w:w="688" w:type="dxa"/>
            <w:tcBorders>
              <w:top w:val="nil"/>
              <w:left w:val="nil"/>
              <w:bottom w:val="single" w:sz="4" w:space="0" w:color="auto"/>
              <w:right w:val="single" w:sz="4" w:space="0" w:color="auto"/>
            </w:tcBorders>
            <w:shd w:val="clear" w:color="auto" w:fill="auto"/>
            <w:vAlign w:val="center"/>
          </w:tcPr>
          <w:p w:rsidR="009116FA" w:rsidRPr="0091564D" w:rsidRDefault="009116FA" w:rsidP="0005094B">
            <w:pPr>
              <w:rPr>
                <w:rFonts w:cstheme="minorHAnsi"/>
                <w:sz w:val="20"/>
                <w:szCs w:val="20"/>
              </w:rPr>
            </w:pPr>
            <w:r w:rsidRPr="0091564D">
              <w:rPr>
                <w:rFonts w:cstheme="minorHAnsi"/>
                <w:sz w:val="20"/>
                <w:szCs w:val="20"/>
              </w:rPr>
              <w:t>Oct-16</w:t>
            </w:r>
          </w:p>
        </w:tc>
        <w:tc>
          <w:tcPr>
            <w:tcW w:w="953" w:type="dxa"/>
            <w:tcBorders>
              <w:top w:val="nil"/>
              <w:left w:val="nil"/>
              <w:bottom w:val="single" w:sz="4" w:space="0" w:color="auto"/>
              <w:right w:val="single" w:sz="4" w:space="0" w:color="auto"/>
            </w:tcBorders>
            <w:shd w:val="clear" w:color="auto" w:fill="auto"/>
            <w:vAlign w:val="center"/>
          </w:tcPr>
          <w:p w:rsidR="009116FA" w:rsidRPr="0091564D" w:rsidRDefault="009116FA" w:rsidP="0005094B">
            <w:pPr>
              <w:rPr>
                <w:rFonts w:cstheme="minorHAnsi"/>
                <w:sz w:val="20"/>
                <w:szCs w:val="20"/>
              </w:rPr>
            </w:pPr>
            <w:r w:rsidRPr="0091564D">
              <w:rPr>
                <w:rFonts w:cstheme="minorHAnsi"/>
                <w:sz w:val="20"/>
                <w:szCs w:val="20"/>
              </w:rPr>
              <w:t>2 days</w:t>
            </w:r>
          </w:p>
        </w:tc>
        <w:tc>
          <w:tcPr>
            <w:tcW w:w="1238" w:type="dxa"/>
            <w:tcBorders>
              <w:top w:val="nil"/>
              <w:left w:val="nil"/>
              <w:bottom w:val="single" w:sz="4" w:space="0" w:color="auto"/>
              <w:right w:val="single" w:sz="4" w:space="0" w:color="auto"/>
            </w:tcBorders>
            <w:shd w:val="clear" w:color="auto" w:fill="auto"/>
            <w:vAlign w:val="center"/>
          </w:tcPr>
          <w:p w:rsidR="009116FA" w:rsidRPr="0091564D" w:rsidRDefault="009116FA" w:rsidP="0005094B">
            <w:pPr>
              <w:rPr>
                <w:rFonts w:cstheme="minorHAnsi"/>
                <w:sz w:val="20"/>
                <w:szCs w:val="20"/>
              </w:rPr>
            </w:pPr>
            <w:r w:rsidRPr="0091564D">
              <w:rPr>
                <w:rFonts w:cstheme="minorHAnsi"/>
                <w:sz w:val="20"/>
                <w:szCs w:val="20"/>
              </w:rPr>
              <w:t>16 citizens (only 12 attended both days)</w:t>
            </w:r>
          </w:p>
        </w:tc>
        <w:tc>
          <w:tcPr>
            <w:tcW w:w="1701" w:type="dxa"/>
            <w:tcBorders>
              <w:top w:val="nil"/>
              <w:left w:val="nil"/>
              <w:bottom w:val="single" w:sz="4" w:space="0" w:color="auto"/>
              <w:right w:val="single" w:sz="4" w:space="0" w:color="auto"/>
            </w:tcBorders>
            <w:shd w:val="clear" w:color="auto" w:fill="auto"/>
            <w:vAlign w:val="center"/>
          </w:tcPr>
          <w:p w:rsidR="009116FA" w:rsidRPr="0091564D" w:rsidRDefault="009116FA" w:rsidP="0005094B">
            <w:pPr>
              <w:rPr>
                <w:rFonts w:cstheme="minorHAnsi"/>
                <w:sz w:val="20"/>
                <w:szCs w:val="20"/>
              </w:rPr>
            </w:pPr>
            <w:r w:rsidRPr="0091564D">
              <w:rPr>
                <w:rFonts w:cstheme="minorHAnsi"/>
                <w:sz w:val="20"/>
                <w:szCs w:val="20"/>
              </w:rPr>
              <w:t>Random selection, with representation across socioeconomic factors.</w:t>
            </w:r>
          </w:p>
        </w:tc>
      </w:tr>
      <w:tr w:rsidR="009116FA" w:rsidTr="0005094B">
        <w:tc>
          <w:tcPr>
            <w:tcW w:w="509" w:type="dxa"/>
            <w:shd w:val="clear" w:color="auto" w:fill="ABD9F8" w:themeFill="accent1" w:themeFillTint="66"/>
            <w:vAlign w:val="center"/>
          </w:tcPr>
          <w:p w:rsidR="009116FA" w:rsidRPr="0049642F" w:rsidRDefault="009116FA" w:rsidP="0005094B">
            <w:pPr>
              <w:rPr>
                <w:rFonts w:cstheme="minorHAnsi"/>
                <w:b/>
                <w:i/>
                <w:sz w:val="20"/>
                <w:szCs w:val="20"/>
              </w:rPr>
            </w:pPr>
            <w:r w:rsidRPr="0049642F">
              <w:rPr>
                <w:rFonts w:cstheme="minorHAnsi"/>
                <w:b/>
                <w:i/>
                <w:sz w:val="20"/>
                <w:szCs w:val="20"/>
              </w:rPr>
              <w:t>48</w:t>
            </w:r>
          </w:p>
        </w:tc>
        <w:tc>
          <w:tcPr>
            <w:tcW w:w="3018" w:type="dxa"/>
            <w:tcBorders>
              <w:top w:val="nil"/>
              <w:left w:val="single" w:sz="4" w:space="0" w:color="auto"/>
              <w:bottom w:val="single" w:sz="4" w:space="0" w:color="auto"/>
              <w:right w:val="single" w:sz="4" w:space="0" w:color="auto"/>
            </w:tcBorders>
            <w:shd w:val="clear" w:color="auto" w:fill="ABD9F8" w:themeFill="accent1" w:themeFillTint="66"/>
            <w:vAlign w:val="center"/>
          </w:tcPr>
          <w:p w:rsidR="009116FA" w:rsidRPr="0091564D" w:rsidRDefault="009116FA" w:rsidP="0005094B">
            <w:pPr>
              <w:rPr>
                <w:rFonts w:cstheme="minorHAnsi"/>
                <w:sz w:val="20"/>
                <w:szCs w:val="20"/>
              </w:rPr>
            </w:pPr>
            <w:r w:rsidRPr="0091564D">
              <w:rPr>
                <w:rFonts w:cstheme="minorHAnsi"/>
                <w:sz w:val="20"/>
                <w:szCs w:val="20"/>
              </w:rPr>
              <w:t>Genetic testing for common disorders</w:t>
            </w:r>
          </w:p>
        </w:tc>
        <w:tc>
          <w:tcPr>
            <w:tcW w:w="946" w:type="dxa"/>
            <w:tcBorders>
              <w:top w:val="nil"/>
              <w:left w:val="nil"/>
              <w:bottom w:val="single" w:sz="4" w:space="0" w:color="auto"/>
              <w:right w:val="single" w:sz="4" w:space="0" w:color="auto"/>
            </w:tcBorders>
            <w:shd w:val="clear" w:color="auto" w:fill="ABD9F8" w:themeFill="accent1" w:themeFillTint="66"/>
            <w:vAlign w:val="center"/>
          </w:tcPr>
          <w:p w:rsidR="009116FA" w:rsidRPr="0091564D" w:rsidRDefault="009116FA" w:rsidP="0005094B">
            <w:pPr>
              <w:rPr>
                <w:rFonts w:cstheme="minorHAnsi"/>
                <w:sz w:val="20"/>
                <w:szCs w:val="20"/>
              </w:rPr>
            </w:pPr>
            <w:r w:rsidRPr="0091564D">
              <w:rPr>
                <w:rFonts w:cstheme="minorHAnsi"/>
                <w:sz w:val="20"/>
                <w:szCs w:val="20"/>
              </w:rPr>
              <w:t xml:space="preserve">Citizen Jury </w:t>
            </w:r>
          </w:p>
        </w:tc>
        <w:tc>
          <w:tcPr>
            <w:tcW w:w="2146" w:type="dxa"/>
            <w:tcBorders>
              <w:top w:val="nil"/>
              <w:left w:val="nil"/>
              <w:bottom w:val="single" w:sz="4" w:space="0" w:color="auto"/>
              <w:right w:val="single" w:sz="4" w:space="0" w:color="auto"/>
            </w:tcBorders>
            <w:shd w:val="clear" w:color="auto" w:fill="ABD9F8" w:themeFill="accent1" w:themeFillTint="66"/>
            <w:vAlign w:val="center"/>
          </w:tcPr>
          <w:p w:rsidR="009116FA" w:rsidRPr="0091564D" w:rsidRDefault="009116FA" w:rsidP="0005094B">
            <w:pPr>
              <w:rPr>
                <w:rFonts w:cstheme="minorHAnsi"/>
                <w:sz w:val="20"/>
                <w:szCs w:val="20"/>
              </w:rPr>
            </w:pPr>
            <w:r w:rsidRPr="0091564D">
              <w:rPr>
                <w:rFonts w:cstheme="minorHAnsi"/>
                <w:sz w:val="20"/>
                <w:szCs w:val="20"/>
              </w:rPr>
              <w:t>Wales</w:t>
            </w:r>
          </w:p>
        </w:tc>
        <w:tc>
          <w:tcPr>
            <w:tcW w:w="688" w:type="dxa"/>
            <w:tcBorders>
              <w:top w:val="nil"/>
              <w:left w:val="nil"/>
              <w:bottom w:val="single" w:sz="4" w:space="0" w:color="auto"/>
              <w:right w:val="single" w:sz="4" w:space="0" w:color="auto"/>
            </w:tcBorders>
            <w:shd w:val="clear" w:color="auto" w:fill="ABD9F8" w:themeFill="accent1" w:themeFillTint="66"/>
            <w:vAlign w:val="center"/>
          </w:tcPr>
          <w:p w:rsidR="009116FA" w:rsidRPr="0091564D" w:rsidRDefault="009116FA" w:rsidP="0005094B">
            <w:pPr>
              <w:rPr>
                <w:rFonts w:cstheme="minorHAnsi"/>
                <w:sz w:val="20"/>
                <w:szCs w:val="20"/>
              </w:rPr>
            </w:pPr>
            <w:r w:rsidRPr="0091564D">
              <w:rPr>
                <w:rFonts w:cstheme="minorHAnsi"/>
                <w:sz w:val="20"/>
                <w:szCs w:val="20"/>
              </w:rPr>
              <w:t>Nov-97</w:t>
            </w:r>
          </w:p>
        </w:tc>
        <w:tc>
          <w:tcPr>
            <w:tcW w:w="953" w:type="dxa"/>
            <w:tcBorders>
              <w:top w:val="nil"/>
              <w:left w:val="nil"/>
              <w:bottom w:val="single" w:sz="4" w:space="0" w:color="auto"/>
              <w:right w:val="single" w:sz="4" w:space="0" w:color="auto"/>
            </w:tcBorders>
            <w:shd w:val="clear" w:color="auto" w:fill="ABD9F8" w:themeFill="accent1" w:themeFillTint="66"/>
            <w:vAlign w:val="center"/>
          </w:tcPr>
          <w:p w:rsidR="009116FA" w:rsidRPr="0091564D" w:rsidRDefault="009116FA" w:rsidP="0005094B">
            <w:pPr>
              <w:rPr>
                <w:rFonts w:cstheme="minorHAnsi"/>
                <w:sz w:val="20"/>
                <w:szCs w:val="20"/>
              </w:rPr>
            </w:pPr>
            <w:r w:rsidRPr="0091564D">
              <w:rPr>
                <w:rFonts w:cstheme="minorHAnsi"/>
                <w:sz w:val="20"/>
                <w:szCs w:val="20"/>
              </w:rPr>
              <w:t>4.5 days</w:t>
            </w:r>
          </w:p>
        </w:tc>
        <w:tc>
          <w:tcPr>
            <w:tcW w:w="1238" w:type="dxa"/>
            <w:tcBorders>
              <w:top w:val="nil"/>
              <w:left w:val="nil"/>
              <w:bottom w:val="single" w:sz="4" w:space="0" w:color="auto"/>
              <w:right w:val="single" w:sz="4" w:space="0" w:color="auto"/>
            </w:tcBorders>
            <w:shd w:val="clear" w:color="auto" w:fill="ABD9F8" w:themeFill="accent1" w:themeFillTint="66"/>
            <w:vAlign w:val="center"/>
          </w:tcPr>
          <w:p w:rsidR="009116FA" w:rsidRPr="0091564D" w:rsidRDefault="009116FA" w:rsidP="0005094B">
            <w:pPr>
              <w:rPr>
                <w:rFonts w:cstheme="minorHAnsi"/>
                <w:sz w:val="20"/>
                <w:szCs w:val="20"/>
              </w:rPr>
            </w:pPr>
            <w:r w:rsidRPr="0091564D">
              <w:rPr>
                <w:rFonts w:cstheme="minorHAnsi"/>
                <w:sz w:val="20"/>
                <w:szCs w:val="20"/>
              </w:rPr>
              <w:t>15</w:t>
            </w:r>
          </w:p>
        </w:tc>
        <w:tc>
          <w:tcPr>
            <w:tcW w:w="1701" w:type="dxa"/>
            <w:tcBorders>
              <w:top w:val="nil"/>
              <w:left w:val="nil"/>
              <w:bottom w:val="single" w:sz="4" w:space="0" w:color="auto"/>
              <w:right w:val="single" w:sz="4" w:space="0" w:color="auto"/>
            </w:tcBorders>
            <w:shd w:val="clear" w:color="auto" w:fill="ABD9F8" w:themeFill="accent1" w:themeFillTint="66"/>
            <w:vAlign w:val="center"/>
          </w:tcPr>
          <w:p w:rsidR="009116FA" w:rsidRPr="0091564D" w:rsidRDefault="009116FA" w:rsidP="0005094B">
            <w:pPr>
              <w:rPr>
                <w:rFonts w:cstheme="minorHAnsi"/>
                <w:sz w:val="20"/>
                <w:szCs w:val="20"/>
              </w:rPr>
            </w:pPr>
            <w:r w:rsidRPr="0091564D">
              <w:rPr>
                <w:rFonts w:cstheme="minorHAnsi"/>
                <w:sz w:val="20"/>
                <w:szCs w:val="20"/>
              </w:rPr>
              <w:t>Stratified sampling</w:t>
            </w:r>
          </w:p>
        </w:tc>
      </w:tr>
      <w:tr w:rsidR="009116FA" w:rsidTr="0005094B">
        <w:tc>
          <w:tcPr>
            <w:tcW w:w="509" w:type="dxa"/>
            <w:vAlign w:val="center"/>
          </w:tcPr>
          <w:p w:rsidR="009116FA" w:rsidRPr="0049642F" w:rsidRDefault="009116FA" w:rsidP="0005094B">
            <w:pPr>
              <w:rPr>
                <w:rFonts w:cstheme="minorHAnsi"/>
                <w:b/>
                <w:i/>
                <w:sz w:val="20"/>
                <w:szCs w:val="20"/>
              </w:rPr>
            </w:pPr>
            <w:r w:rsidRPr="0049642F">
              <w:rPr>
                <w:rFonts w:cstheme="minorHAnsi"/>
                <w:b/>
                <w:i/>
                <w:sz w:val="20"/>
                <w:szCs w:val="20"/>
              </w:rPr>
              <w:t>49</w:t>
            </w:r>
          </w:p>
        </w:tc>
        <w:tc>
          <w:tcPr>
            <w:tcW w:w="3018" w:type="dxa"/>
            <w:tcBorders>
              <w:top w:val="nil"/>
              <w:left w:val="single" w:sz="4" w:space="0" w:color="auto"/>
              <w:bottom w:val="single" w:sz="4" w:space="0" w:color="auto"/>
              <w:right w:val="single" w:sz="4" w:space="0" w:color="auto"/>
            </w:tcBorders>
            <w:shd w:val="clear" w:color="auto" w:fill="auto"/>
            <w:vAlign w:val="center"/>
          </w:tcPr>
          <w:p w:rsidR="009116FA" w:rsidRPr="0091564D" w:rsidRDefault="009116FA" w:rsidP="0005094B">
            <w:pPr>
              <w:rPr>
                <w:rFonts w:cstheme="minorHAnsi"/>
                <w:sz w:val="20"/>
                <w:szCs w:val="20"/>
              </w:rPr>
            </w:pPr>
            <w:proofErr w:type="spellStart"/>
            <w:r w:rsidRPr="0091564D">
              <w:rPr>
                <w:rFonts w:cstheme="minorHAnsi"/>
                <w:sz w:val="20"/>
                <w:szCs w:val="20"/>
              </w:rPr>
              <w:t>NanoJury</w:t>
            </w:r>
            <w:proofErr w:type="spellEnd"/>
            <w:r w:rsidRPr="0091564D">
              <w:rPr>
                <w:rFonts w:cstheme="minorHAnsi"/>
                <w:sz w:val="20"/>
                <w:szCs w:val="20"/>
              </w:rPr>
              <w:t xml:space="preserve"> UK (Citizens' Jury on Crime &amp; Nanotechnologies)</w:t>
            </w:r>
          </w:p>
        </w:tc>
        <w:tc>
          <w:tcPr>
            <w:tcW w:w="946" w:type="dxa"/>
            <w:tcBorders>
              <w:top w:val="nil"/>
              <w:left w:val="nil"/>
              <w:bottom w:val="single" w:sz="4" w:space="0" w:color="auto"/>
              <w:right w:val="single" w:sz="4" w:space="0" w:color="auto"/>
            </w:tcBorders>
            <w:shd w:val="clear" w:color="auto" w:fill="auto"/>
            <w:vAlign w:val="center"/>
          </w:tcPr>
          <w:p w:rsidR="009116FA" w:rsidRPr="0091564D" w:rsidRDefault="009116FA" w:rsidP="0005094B">
            <w:pPr>
              <w:rPr>
                <w:rFonts w:cstheme="minorHAnsi"/>
                <w:sz w:val="20"/>
                <w:szCs w:val="20"/>
              </w:rPr>
            </w:pPr>
            <w:r w:rsidRPr="0091564D">
              <w:rPr>
                <w:rFonts w:cstheme="minorHAnsi"/>
                <w:sz w:val="20"/>
                <w:szCs w:val="20"/>
              </w:rPr>
              <w:t>Citizens' Jury</w:t>
            </w:r>
          </w:p>
        </w:tc>
        <w:tc>
          <w:tcPr>
            <w:tcW w:w="2146" w:type="dxa"/>
            <w:tcBorders>
              <w:top w:val="nil"/>
              <w:left w:val="nil"/>
              <w:bottom w:val="single" w:sz="4" w:space="0" w:color="auto"/>
              <w:right w:val="single" w:sz="4" w:space="0" w:color="auto"/>
            </w:tcBorders>
            <w:shd w:val="clear" w:color="auto" w:fill="auto"/>
            <w:vAlign w:val="center"/>
          </w:tcPr>
          <w:p w:rsidR="009116FA" w:rsidRPr="0091564D" w:rsidRDefault="009116FA" w:rsidP="0005094B">
            <w:pPr>
              <w:rPr>
                <w:rFonts w:cstheme="minorHAnsi"/>
                <w:sz w:val="20"/>
                <w:szCs w:val="20"/>
              </w:rPr>
            </w:pPr>
            <w:r w:rsidRPr="0091564D">
              <w:rPr>
                <w:rFonts w:cstheme="minorHAnsi"/>
                <w:sz w:val="20"/>
                <w:szCs w:val="20"/>
              </w:rPr>
              <w:t> </w:t>
            </w:r>
          </w:p>
        </w:tc>
        <w:tc>
          <w:tcPr>
            <w:tcW w:w="688" w:type="dxa"/>
            <w:tcBorders>
              <w:top w:val="nil"/>
              <w:left w:val="nil"/>
              <w:bottom w:val="single" w:sz="4" w:space="0" w:color="auto"/>
              <w:right w:val="single" w:sz="4" w:space="0" w:color="auto"/>
            </w:tcBorders>
            <w:shd w:val="clear" w:color="auto" w:fill="auto"/>
            <w:vAlign w:val="center"/>
          </w:tcPr>
          <w:p w:rsidR="009116FA" w:rsidRPr="0091564D" w:rsidRDefault="009116FA" w:rsidP="0005094B">
            <w:pPr>
              <w:rPr>
                <w:rFonts w:cstheme="minorHAnsi"/>
                <w:sz w:val="20"/>
                <w:szCs w:val="20"/>
              </w:rPr>
            </w:pPr>
            <w:r w:rsidRPr="0091564D">
              <w:rPr>
                <w:rFonts w:cstheme="minorHAnsi"/>
                <w:sz w:val="20"/>
                <w:szCs w:val="20"/>
              </w:rPr>
              <w:t>June and July 2005</w:t>
            </w:r>
          </w:p>
        </w:tc>
        <w:tc>
          <w:tcPr>
            <w:tcW w:w="953" w:type="dxa"/>
            <w:tcBorders>
              <w:top w:val="nil"/>
              <w:left w:val="nil"/>
              <w:bottom w:val="single" w:sz="4" w:space="0" w:color="auto"/>
              <w:right w:val="single" w:sz="4" w:space="0" w:color="auto"/>
            </w:tcBorders>
            <w:shd w:val="clear" w:color="auto" w:fill="auto"/>
            <w:vAlign w:val="center"/>
          </w:tcPr>
          <w:p w:rsidR="009116FA" w:rsidRPr="0091564D" w:rsidRDefault="009116FA" w:rsidP="0005094B">
            <w:pPr>
              <w:rPr>
                <w:rFonts w:cstheme="minorHAnsi"/>
                <w:sz w:val="20"/>
                <w:szCs w:val="20"/>
              </w:rPr>
            </w:pPr>
            <w:r w:rsidRPr="0091564D">
              <w:rPr>
                <w:rFonts w:cstheme="minorHAnsi"/>
                <w:sz w:val="20"/>
                <w:szCs w:val="20"/>
              </w:rPr>
              <w:t>Each jury was two and a half hours, twice a week for five weeks, with additional meetings when required.</w:t>
            </w:r>
          </w:p>
        </w:tc>
        <w:tc>
          <w:tcPr>
            <w:tcW w:w="1238" w:type="dxa"/>
            <w:tcBorders>
              <w:top w:val="nil"/>
              <w:left w:val="nil"/>
              <w:bottom w:val="single" w:sz="4" w:space="0" w:color="auto"/>
              <w:right w:val="single" w:sz="4" w:space="0" w:color="auto"/>
            </w:tcBorders>
            <w:shd w:val="clear" w:color="auto" w:fill="auto"/>
            <w:vAlign w:val="center"/>
          </w:tcPr>
          <w:p w:rsidR="009116FA" w:rsidRPr="0091564D" w:rsidRDefault="009116FA" w:rsidP="0005094B">
            <w:pPr>
              <w:rPr>
                <w:rFonts w:cstheme="minorHAnsi"/>
                <w:sz w:val="20"/>
                <w:szCs w:val="20"/>
              </w:rPr>
            </w:pPr>
            <w:r w:rsidRPr="0091564D">
              <w:rPr>
                <w:rFonts w:cstheme="minorHAnsi"/>
                <w:sz w:val="20"/>
                <w:szCs w:val="20"/>
              </w:rPr>
              <w:t>16</w:t>
            </w:r>
          </w:p>
        </w:tc>
        <w:tc>
          <w:tcPr>
            <w:tcW w:w="1701" w:type="dxa"/>
            <w:tcBorders>
              <w:top w:val="nil"/>
              <w:left w:val="nil"/>
              <w:bottom w:val="single" w:sz="4" w:space="0" w:color="auto"/>
              <w:right w:val="single" w:sz="4" w:space="0" w:color="auto"/>
            </w:tcBorders>
            <w:shd w:val="clear" w:color="auto" w:fill="auto"/>
            <w:vAlign w:val="center"/>
          </w:tcPr>
          <w:p w:rsidR="009116FA" w:rsidRPr="0091564D" w:rsidRDefault="009116FA" w:rsidP="0005094B">
            <w:pPr>
              <w:rPr>
                <w:rFonts w:cstheme="minorHAnsi"/>
                <w:sz w:val="20"/>
                <w:szCs w:val="20"/>
              </w:rPr>
            </w:pPr>
            <w:r w:rsidRPr="0091564D">
              <w:rPr>
                <w:rFonts w:cstheme="minorHAnsi"/>
                <w:sz w:val="20"/>
                <w:szCs w:val="20"/>
              </w:rPr>
              <w:t>"A cross section of people from across West  Yorkshire" - exact recruitment method is unclear</w:t>
            </w:r>
          </w:p>
        </w:tc>
      </w:tr>
    </w:tbl>
    <w:p w:rsidR="009116FA" w:rsidRDefault="009116FA" w:rsidP="009116FA">
      <w:pPr>
        <w:ind w:left="720"/>
        <w:jc w:val="both"/>
        <w:rPr>
          <w:b/>
          <w:i/>
          <w:color w:val="0B5484" w:themeColor="accent1" w:themeShade="80"/>
          <w:sz w:val="24"/>
          <w:szCs w:val="24"/>
        </w:rPr>
      </w:pPr>
    </w:p>
    <w:p w:rsidR="00A676F7" w:rsidRPr="00C12660" w:rsidRDefault="00A676F7" w:rsidP="00A676F7">
      <w:pPr>
        <w:numPr>
          <w:ilvl w:val="0"/>
          <w:numId w:val="14"/>
        </w:numPr>
        <w:jc w:val="both"/>
        <w:rPr>
          <w:b/>
          <w:i/>
          <w:color w:val="0B5484" w:themeColor="accent1" w:themeShade="80"/>
          <w:sz w:val="24"/>
          <w:szCs w:val="24"/>
        </w:rPr>
      </w:pPr>
      <w:r w:rsidRPr="00C12660">
        <w:rPr>
          <w:b/>
          <w:i/>
          <w:color w:val="0B5484" w:themeColor="accent1" w:themeShade="80"/>
          <w:sz w:val="24"/>
          <w:szCs w:val="24"/>
        </w:rPr>
        <w:t xml:space="preserve">Are there any trends across the cases in each country that suggest the organisational features of the mini-public influence citizens’ engagement with evidence? </w:t>
      </w:r>
    </w:p>
    <w:p w:rsidR="00A676F7" w:rsidRPr="00A676F7" w:rsidRDefault="00A676F7" w:rsidP="00A676F7">
      <w:pPr>
        <w:jc w:val="both"/>
        <w:rPr>
          <w:sz w:val="24"/>
          <w:szCs w:val="24"/>
          <w:lang w:val="it-IT"/>
        </w:rPr>
      </w:pPr>
      <w:r w:rsidRPr="00A676F7">
        <w:rPr>
          <w:sz w:val="24"/>
          <w:szCs w:val="24"/>
        </w:rPr>
        <w:t xml:space="preserve">Out of the </w:t>
      </w:r>
      <w:r w:rsidR="00C12660">
        <w:rPr>
          <w:sz w:val="24"/>
          <w:szCs w:val="24"/>
        </w:rPr>
        <w:t>mini-</w:t>
      </w:r>
      <w:r w:rsidRPr="00A676F7">
        <w:rPr>
          <w:sz w:val="24"/>
          <w:szCs w:val="24"/>
        </w:rPr>
        <w:t xml:space="preserve">publics held in the UK, only </w:t>
      </w:r>
      <w:r w:rsidR="00C12660">
        <w:rPr>
          <w:sz w:val="24"/>
          <w:szCs w:val="24"/>
        </w:rPr>
        <w:t>a few</w:t>
      </w:r>
      <w:r w:rsidR="006B4188">
        <w:rPr>
          <w:sz w:val="24"/>
          <w:szCs w:val="24"/>
        </w:rPr>
        <w:t xml:space="preserve"> </w:t>
      </w:r>
      <w:r w:rsidRPr="00A676F7">
        <w:rPr>
          <w:sz w:val="24"/>
          <w:szCs w:val="24"/>
        </w:rPr>
        <w:t xml:space="preserve">case studies detail the influence of the evidence on citizens. </w:t>
      </w:r>
      <w:r w:rsidRPr="00A676F7">
        <w:rPr>
          <w:sz w:val="24"/>
          <w:szCs w:val="24"/>
          <w:lang w:val="it-IT"/>
        </w:rPr>
        <w:t>The citizens</w:t>
      </w:r>
      <w:r w:rsidR="008C6922">
        <w:rPr>
          <w:sz w:val="24"/>
          <w:szCs w:val="24"/>
          <w:lang w:val="it-IT"/>
        </w:rPr>
        <w:t>’</w:t>
      </w:r>
      <w:r w:rsidRPr="00A676F7">
        <w:rPr>
          <w:sz w:val="24"/>
          <w:szCs w:val="24"/>
          <w:lang w:val="it-IT"/>
        </w:rPr>
        <w:t xml:space="preserve"> jury on Nanotechnology </w:t>
      </w:r>
      <w:r w:rsidR="0005094B">
        <w:rPr>
          <w:sz w:val="24"/>
          <w:szCs w:val="24"/>
          <w:lang w:val="it-IT"/>
        </w:rPr>
        <w:t xml:space="preserve">(case no. 49) </w:t>
      </w:r>
      <w:r w:rsidRPr="00A676F7">
        <w:rPr>
          <w:sz w:val="24"/>
          <w:szCs w:val="24"/>
          <w:lang w:val="it-IT"/>
        </w:rPr>
        <w:t>explicitly evaluated and analyse</w:t>
      </w:r>
      <w:r>
        <w:rPr>
          <w:sz w:val="24"/>
          <w:szCs w:val="24"/>
          <w:lang w:val="it-IT"/>
        </w:rPr>
        <w:t>d</w:t>
      </w:r>
      <w:r w:rsidRPr="00A676F7">
        <w:rPr>
          <w:sz w:val="24"/>
          <w:szCs w:val="24"/>
          <w:lang w:val="it-IT"/>
        </w:rPr>
        <w:t xml:space="preserve"> how the mini</w:t>
      </w:r>
      <w:r>
        <w:rPr>
          <w:sz w:val="24"/>
          <w:szCs w:val="24"/>
          <w:lang w:val="it-IT"/>
        </w:rPr>
        <w:t>-</w:t>
      </w:r>
      <w:r w:rsidRPr="00A676F7">
        <w:rPr>
          <w:sz w:val="24"/>
          <w:szCs w:val="24"/>
          <w:lang w:val="it-IT"/>
        </w:rPr>
        <w:t>public affected public engagement. This involved participant observation of the nano jury sessions,  interviews with the jurors on first two nights to ascertain their expectations of the process, and a focus group on the final evening of the jury to elicit jurors’ views on the most successful aspects of the jury. These insights informed a qualitative survey which was sent out to all jurors following the citizens’ jury (Rogers-Hayden &amp; Pidgeon 2006). A key element of the mini</w:t>
      </w:r>
      <w:r>
        <w:rPr>
          <w:sz w:val="24"/>
          <w:szCs w:val="24"/>
          <w:lang w:val="it-IT"/>
        </w:rPr>
        <w:t>-</w:t>
      </w:r>
      <w:r w:rsidRPr="00A676F7">
        <w:rPr>
          <w:sz w:val="24"/>
          <w:szCs w:val="24"/>
          <w:lang w:val="it-IT"/>
        </w:rPr>
        <w:t xml:space="preserve">public was to introduce a broad range of views into the discussion by recruiting a varied mix of nanotechnology advocates and sceptics, and to faciliate sesssions in such a way that enabled jurors to freely construct recommendations. </w:t>
      </w:r>
      <w:r>
        <w:rPr>
          <w:sz w:val="24"/>
          <w:szCs w:val="24"/>
          <w:lang w:val="it-IT"/>
        </w:rPr>
        <w:t>Rogers-Hayden &amp; Pidgeon (2006:</w:t>
      </w:r>
      <w:r w:rsidRPr="00A676F7">
        <w:rPr>
          <w:sz w:val="24"/>
          <w:szCs w:val="24"/>
          <w:lang w:val="it-IT"/>
        </w:rPr>
        <w:t xml:space="preserve"> 176) found that this bottom-up approach allowed the jurors more control over the process, however many jurors did feedback that the process could have been more focsused to enable a more contained set of recommendations to emerge. </w:t>
      </w:r>
    </w:p>
    <w:p w:rsidR="00A676F7" w:rsidRPr="00A676F7" w:rsidRDefault="00A676F7" w:rsidP="00A676F7">
      <w:pPr>
        <w:jc w:val="both"/>
        <w:rPr>
          <w:sz w:val="24"/>
          <w:szCs w:val="24"/>
        </w:rPr>
      </w:pPr>
      <w:r w:rsidRPr="00A676F7">
        <w:rPr>
          <w:sz w:val="24"/>
          <w:szCs w:val="24"/>
        </w:rPr>
        <w:t>It is clear from the NHS Citizen Assembly in London that the duration</w:t>
      </w:r>
      <w:r>
        <w:rPr>
          <w:sz w:val="24"/>
          <w:szCs w:val="24"/>
        </w:rPr>
        <w:t xml:space="preserve"> of</w:t>
      </w:r>
      <w:r w:rsidR="00C12660">
        <w:rPr>
          <w:sz w:val="24"/>
          <w:szCs w:val="24"/>
        </w:rPr>
        <w:t xml:space="preserve"> a</w:t>
      </w:r>
      <w:r>
        <w:rPr>
          <w:sz w:val="24"/>
          <w:szCs w:val="24"/>
        </w:rPr>
        <w:t xml:space="preserve"> mini-public</w:t>
      </w:r>
      <w:r w:rsidRPr="00A676F7">
        <w:rPr>
          <w:sz w:val="24"/>
          <w:szCs w:val="24"/>
        </w:rPr>
        <w:t xml:space="preserve"> impacts on the citizens</w:t>
      </w:r>
      <w:r>
        <w:rPr>
          <w:sz w:val="24"/>
          <w:szCs w:val="24"/>
        </w:rPr>
        <w:t>’</w:t>
      </w:r>
      <w:r w:rsidRPr="00A676F7">
        <w:rPr>
          <w:sz w:val="24"/>
          <w:szCs w:val="24"/>
        </w:rPr>
        <w:t xml:space="preserve"> engagement with the evidence. In this case, 200 patients, carers, activists, and voluntary sector and public service</w:t>
      </w:r>
      <w:r w:rsidR="0005094B">
        <w:rPr>
          <w:sz w:val="24"/>
          <w:szCs w:val="24"/>
        </w:rPr>
        <w:t xml:space="preserve"> workers, were convened for a </w:t>
      </w:r>
      <w:r w:rsidRPr="00A676F7">
        <w:rPr>
          <w:sz w:val="24"/>
          <w:szCs w:val="24"/>
        </w:rPr>
        <w:t>day to discuss the NHS Citizen Assembly</w:t>
      </w:r>
      <w:r w:rsidR="0005094B">
        <w:rPr>
          <w:sz w:val="24"/>
          <w:szCs w:val="24"/>
        </w:rPr>
        <w:t xml:space="preserve"> (case no.46)</w:t>
      </w:r>
      <w:r w:rsidRPr="00A676F7">
        <w:rPr>
          <w:sz w:val="24"/>
          <w:szCs w:val="24"/>
        </w:rPr>
        <w:t>. The day had a full agenda, with five topics discussed, with several presentations, and break-out group discussion</w:t>
      </w:r>
      <w:r>
        <w:rPr>
          <w:sz w:val="24"/>
          <w:szCs w:val="24"/>
        </w:rPr>
        <w:t>s. The lack of time meant that ‘</w:t>
      </w:r>
      <w:r w:rsidRPr="00A676F7">
        <w:rPr>
          <w:sz w:val="24"/>
          <w:szCs w:val="24"/>
        </w:rPr>
        <w:t xml:space="preserve">not all groups were able to reach the stage of solutions, but all conversations helped clarify the problems and highlighted areas of agreement and disagreement on how these problems should be </w:t>
      </w:r>
      <w:r>
        <w:rPr>
          <w:sz w:val="24"/>
          <w:szCs w:val="24"/>
        </w:rPr>
        <w:t>addressed’</w:t>
      </w:r>
      <w:r w:rsidRPr="00A676F7">
        <w:rPr>
          <w:sz w:val="24"/>
          <w:szCs w:val="24"/>
        </w:rPr>
        <w:t xml:space="preserve"> (</w:t>
      </w:r>
      <w:proofErr w:type="spellStart"/>
      <w:r w:rsidRPr="00A676F7">
        <w:rPr>
          <w:sz w:val="24"/>
          <w:szCs w:val="24"/>
        </w:rPr>
        <w:t>Adebowale</w:t>
      </w:r>
      <w:proofErr w:type="spellEnd"/>
      <w:r w:rsidRPr="00A676F7">
        <w:rPr>
          <w:sz w:val="24"/>
          <w:szCs w:val="24"/>
        </w:rPr>
        <w:t xml:space="preserve">, </w:t>
      </w:r>
      <w:proofErr w:type="spellStart"/>
      <w:r w:rsidRPr="00A676F7">
        <w:rPr>
          <w:sz w:val="24"/>
          <w:szCs w:val="24"/>
        </w:rPr>
        <w:t>Devane</w:t>
      </w:r>
      <w:proofErr w:type="spellEnd"/>
      <w:r w:rsidRPr="00A676F7">
        <w:rPr>
          <w:sz w:val="24"/>
          <w:szCs w:val="24"/>
        </w:rPr>
        <w:t xml:space="preserve"> &amp; Kelsey 2015).  </w:t>
      </w:r>
      <w:proofErr w:type="spellStart"/>
      <w:r w:rsidRPr="00A676F7">
        <w:rPr>
          <w:sz w:val="24"/>
          <w:szCs w:val="24"/>
        </w:rPr>
        <w:t>Adebowale</w:t>
      </w:r>
      <w:proofErr w:type="spellEnd"/>
      <w:r w:rsidRPr="00A676F7">
        <w:rPr>
          <w:sz w:val="24"/>
          <w:szCs w:val="24"/>
        </w:rPr>
        <w:t xml:space="preserve">, </w:t>
      </w:r>
      <w:proofErr w:type="spellStart"/>
      <w:r w:rsidRPr="00A676F7">
        <w:rPr>
          <w:sz w:val="24"/>
          <w:szCs w:val="24"/>
        </w:rPr>
        <w:t>Devane</w:t>
      </w:r>
      <w:proofErr w:type="spellEnd"/>
      <w:r w:rsidRPr="00A676F7">
        <w:rPr>
          <w:sz w:val="24"/>
          <w:szCs w:val="24"/>
        </w:rPr>
        <w:t xml:space="preserve"> &amp; Kelsey’s </w:t>
      </w:r>
      <w:r w:rsidR="00C12660">
        <w:rPr>
          <w:sz w:val="24"/>
          <w:szCs w:val="24"/>
        </w:rPr>
        <w:t xml:space="preserve">(2015) </w:t>
      </w:r>
      <w:r w:rsidRPr="00A676F7">
        <w:rPr>
          <w:sz w:val="24"/>
          <w:szCs w:val="24"/>
        </w:rPr>
        <w:t xml:space="preserve">review of the event concluded that time was an issue, and that future events should be </w:t>
      </w:r>
      <w:r>
        <w:rPr>
          <w:sz w:val="24"/>
          <w:szCs w:val="24"/>
        </w:rPr>
        <w:t xml:space="preserve">at least </w:t>
      </w:r>
      <w:r w:rsidRPr="00A676F7">
        <w:rPr>
          <w:sz w:val="24"/>
          <w:szCs w:val="24"/>
        </w:rPr>
        <w:t>two days long.</w:t>
      </w:r>
    </w:p>
    <w:p w:rsidR="00A676F7" w:rsidRPr="00A676F7" w:rsidRDefault="00A676F7" w:rsidP="00A676F7">
      <w:pPr>
        <w:jc w:val="both"/>
        <w:rPr>
          <w:sz w:val="24"/>
          <w:szCs w:val="24"/>
        </w:rPr>
      </w:pPr>
      <w:r w:rsidRPr="00A676F7">
        <w:rPr>
          <w:sz w:val="24"/>
          <w:szCs w:val="24"/>
        </w:rPr>
        <w:t xml:space="preserve">Another </w:t>
      </w:r>
      <w:r w:rsidR="0005094B">
        <w:rPr>
          <w:sz w:val="24"/>
          <w:szCs w:val="24"/>
        </w:rPr>
        <w:t xml:space="preserve">one </w:t>
      </w:r>
      <w:r w:rsidRPr="00A676F7">
        <w:rPr>
          <w:sz w:val="24"/>
          <w:szCs w:val="24"/>
        </w:rPr>
        <w:t>day Citizen Assembly followed the NHS Citizen Assembly to help progre</w:t>
      </w:r>
      <w:r w:rsidR="00C12660">
        <w:rPr>
          <w:sz w:val="24"/>
          <w:szCs w:val="24"/>
        </w:rPr>
        <w:t>ss NHS Citizen Assembly to the ‘build phase’</w:t>
      </w:r>
      <w:r w:rsidRPr="00A676F7">
        <w:rPr>
          <w:sz w:val="24"/>
          <w:szCs w:val="24"/>
        </w:rPr>
        <w:t>, to focus on building the technical infrastructure and establishing NHS Citizen as a way of working</w:t>
      </w:r>
      <w:r w:rsidR="0005094B">
        <w:rPr>
          <w:sz w:val="24"/>
          <w:szCs w:val="24"/>
        </w:rPr>
        <w:t xml:space="preserve"> (case no.45)</w:t>
      </w:r>
      <w:r w:rsidRPr="00A676F7">
        <w:rPr>
          <w:sz w:val="24"/>
          <w:szCs w:val="24"/>
        </w:rPr>
        <w:t xml:space="preserve"> (Involve 2016). The fact that this event was only 2 months after the initial citizen assembly meant that recruitment was difficult, and it was found that a longer time between the events could have aided recruitment (Fletcher 2017). There were two ways in which the evidence influenced citizens. Firstly, citizens would have welcomed a recap of the first</w:t>
      </w:r>
      <w:r w:rsidR="00C12660">
        <w:rPr>
          <w:sz w:val="24"/>
          <w:szCs w:val="24"/>
        </w:rPr>
        <w:t xml:space="preserve"> a</w:t>
      </w:r>
      <w:r w:rsidRPr="00A676F7">
        <w:rPr>
          <w:sz w:val="24"/>
          <w:szCs w:val="24"/>
        </w:rPr>
        <w:t>ssembly to help them judge how their decisions reached in the first phase were implemented. Secondly, and linked to this, over the longer term, participants, and the wider public, often struggl</w:t>
      </w:r>
      <w:r w:rsidR="00C12660">
        <w:rPr>
          <w:sz w:val="24"/>
          <w:szCs w:val="24"/>
        </w:rPr>
        <w:t>ed to see the link between the assembly m</w:t>
      </w:r>
      <w:r w:rsidRPr="00A676F7">
        <w:rPr>
          <w:sz w:val="24"/>
          <w:szCs w:val="24"/>
        </w:rPr>
        <w:t xml:space="preserve">eeting and the influence on NHS England (Fletcher 2017).  </w:t>
      </w:r>
    </w:p>
    <w:p w:rsidR="00A676F7" w:rsidRPr="00A676F7" w:rsidRDefault="00A676F7" w:rsidP="00A676F7">
      <w:pPr>
        <w:jc w:val="both"/>
        <w:rPr>
          <w:sz w:val="24"/>
          <w:szCs w:val="24"/>
        </w:rPr>
      </w:pPr>
      <w:r w:rsidRPr="00A676F7">
        <w:rPr>
          <w:sz w:val="24"/>
          <w:szCs w:val="24"/>
        </w:rPr>
        <w:t>A Citizens’ Assembly was held in Manchester during September 2017 over two weekends</w:t>
      </w:r>
      <w:r w:rsidR="0005094B">
        <w:rPr>
          <w:sz w:val="24"/>
          <w:szCs w:val="24"/>
        </w:rPr>
        <w:t xml:space="preserve"> (case no.38)</w:t>
      </w:r>
      <w:r w:rsidRPr="00A676F7">
        <w:rPr>
          <w:sz w:val="24"/>
          <w:szCs w:val="24"/>
        </w:rPr>
        <w:t xml:space="preserve">. Fifty citizens took part, selected via an online panel-based </w:t>
      </w:r>
      <w:r w:rsidR="00E7247C" w:rsidRPr="00A676F7">
        <w:rPr>
          <w:sz w:val="24"/>
          <w:szCs w:val="24"/>
        </w:rPr>
        <w:t>survey, which</w:t>
      </w:r>
      <w:r w:rsidRPr="00A676F7">
        <w:rPr>
          <w:sz w:val="24"/>
          <w:szCs w:val="24"/>
        </w:rPr>
        <w:t xml:space="preserve"> was administered to a sample of 5000 respondents. From the respondents, over half were willing to participate in the Assembly, of whom one thousand said they could attend both weekends (Renwick </w:t>
      </w:r>
      <w:r w:rsidRPr="00A676F7">
        <w:rPr>
          <w:i/>
          <w:sz w:val="24"/>
          <w:szCs w:val="24"/>
        </w:rPr>
        <w:t>et al.</w:t>
      </w:r>
      <w:r w:rsidRPr="00A676F7">
        <w:rPr>
          <w:sz w:val="24"/>
          <w:szCs w:val="24"/>
        </w:rPr>
        <w:t xml:space="preserve"> 2017). From this pool, the 50 Assembly Members were selected randomly, and all received a gift for their attendance. During the first weekend, the fifty attendees had presentations from experts and received briefing papers. The second weekend involved deliberations until decisions were reached, with these supported by facilitators (Renwick </w:t>
      </w:r>
      <w:r w:rsidRPr="00A676F7">
        <w:rPr>
          <w:i/>
          <w:sz w:val="24"/>
          <w:szCs w:val="24"/>
        </w:rPr>
        <w:t>et al.</w:t>
      </w:r>
      <w:r w:rsidRPr="00A676F7">
        <w:rPr>
          <w:sz w:val="24"/>
          <w:szCs w:val="24"/>
        </w:rPr>
        <w:t xml:space="preserve"> 2017</w:t>
      </w:r>
      <w:r>
        <w:rPr>
          <w:sz w:val="24"/>
          <w:szCs w:val="24"/>
        </w:rPr>
        <w:t xml:space="preserve">: </w:t>
      </w:r>
      <w:r w:rsidRPr="00A676F7">
        <w:rPr>
          <w:sz w:val="24"/>
          <w:szCs w:val="24"/>
        </w:rPr>
        <w:t xml:space="preserve">71). </w:t>
      </w:r>
    </w:p>
    <w:p w:rsidR="00C12660" w:rsidRDefault="00A676F7" w:rsidP="00A676F7">
      <w:pPr>
        <w:jc w:val="both"/>
        <w:rPr>
          <w:sz w:val="24"/>
          <w:szCs w:val="24"/>
        </w:rPr>
      </w:pPr>
      <w:r w:rsidRPr="00A676F7">
        <w:rPr>
          <w:sz w:val="24"/>
          <w:szCs w:val="24"/>
        </w:rPr>
        <w:t>Channel 4 held a Deliberative Poll on the NHS</w:t>
      </w:r>
      <w:r w:rsidR="0005094B">
        <w:rPr>
          <w:sz w:val="24"/>
          <w:szCs w:val="24"/>
        </w:rPr>
        <w:t xml:space="preserve"> (case no.41)</w:t>
      </w:r>
      <w:r w:rsidRPr="00A676F7">
        <w:rPr>
          <w:sz w:val="24"/>
          <w:szCs w:val="24"/>
        </w:rPr>
        <w:t xml:space="preserve">.  Its recruitment method was random selection, and the activities undertaken formed part of the standard deliberative poll format. </w:t>
      </w:r>
      <w:r w:rsidRPr="00A676F7">
        <w:rPr>
          <w:sz w:val="24"/>
          <w:szCs w:val="24"/>
        </w:rPr>
        <w:lastRenderedPageBreak/>
        <w:t xml:space="preserve">There was a review of the influence of the evidence on citizens. It concluded that participants </w:t>
      </w:r>
      <w:r w:rsidR="0005094B">
        <w:rPr>
          <w:sz w:val="24"/>
          <w:szCs w:val="24"/>
        </w:rPr>
        <w:t>were reluctant to ‘</w:t>
      </w:r>
      <w:r w:rsidRPr="00A676F7">
        <w:rPr>
          <w:sz w:val="24"/>
          <w:szCs w:val="24"/>
        </w:rPr>
        <w:t>confront the inevitab</w:t>
      </w:r>
      <w:r w:rsidR="0005094B">
        <w:rPr>
          <w:sz w:val="24"/>
          <w:szCs w:val="24"/>
        </w:rPr>
        <w:t>ility of some kind of rationing’ and ‘</w:t>
      </w:r>
      <w:r w:rsidRPr="00A676F7">
        <w:rPr>
          <w:sz w:val="24"/>
          <w:szCs w:val="24"/>
        </w:rPr>
        <w:t>did not endorse any clea</w:t>
      </w:r>
      <w:r w:rsidR="0005094B">
        <w:rPr>
          <w:sz w:val="24"/>
          <w:szCs w:val="24"/>
        </w:rPr>
        <w:t>r departure from current policy’</w:t>
      </w:r>
      <w:r w:rsidRPr="00A676F7">
        <w:rPr>
          <w:sz w:val="24"/>
          <w:szCs w:val="24"/>
        </w:rPr>
        <w:t xml:space="preserve"> (</w:t>
      </w:r>
      <w:proofErr w:type="spellStart"/>
      <w:r w:rsidRPr="00A676F7">
        <w:rPr>
          <w:sz w:val="24"/>
          <w:szCs w:val="24"/>
        </w:rPr>
        <w:t>Fishkin</w:t>
      </w:r>
      <w:proofErr w:type="spellEnd"/>
      <w:r w:rsidRPr="00A676F7">
        <w:rPr>
          <w:sz w:val="24"/>
          <w:szCs w:val="24"/>
        </w:rPr>
        <w:t xml:space="preserve"> &amp; Luskin 200</w:t>
      </w:r>
      <w:r>
        <w:rPr>
          <w:sz w:val="24"/>
          <w:szCs w:val="24"/>
        </w:rPr>
        <w:t>6:</w:t>
      </w:r>
      <w:r w:rsidRPr="00A676F7">
        <w:rPr>
          <w:sz w:val="24"/>
          <w:szCs w:val="24"/>
        </w:rPr>
        <w:t xml:space="preserve"> 183). </w:t>
      </w:r>
    </w:p>
    <w:p w:rsidR="00A676F7" w:rsidRPr="00A676F7" w:rsidRDefault="00A676F7" w:rsidP="00A676F7">
      <w:pPr>
        <w:jc w:val="both"/>
        <w:rPr>
          <w:sz w:val="24"/>
          <w:szCs w:val="24"/>
        </w:rPr>
      </w:pPr>
      <w:r>
        <w:rPr>
          <w:sz w:val="24"/>
          <w:szCs w:val="24"/>
        </w:rPr>
        <w:t>The mini-</w:t>
      </w:r>
      <w:r w:rsidRPr="00A676F7">
        <w:rPr>
          <w:sz w:val="24"/>
          <w:szCs w:val="24"/>
        </w:rPr>
        <w:t>public on genetic testing involved 15 citizens</w:t>
      </w:r>
      <w:r w:rsidR="0005094B">
        <w:rPr>
          <w:sz w:val="24"/>
          <w:szCs w:val="24"/>
        </w:rPr>
        <w:t xml:space="preserve"> (case no.48)</w:t>
      </w:r>
      <w:r w:rsidRPr="00A676F7">
        <w:rPr>
          <w:sz w:val="24"/>
          <w:szCs w:val="24"/>
        </w:rPr>
        <w:t xml:space="preserve">. The recruitment was made through a survey, with the organisers deliberately excluding certain categories of respondents. This included health service staff, and elected politicians. Health service staff were excluded as it was felt that they could bring (potentially false) credibility as knowledgeable people, and politicians were excluded as it was felt </w:t>
      </w:r>
      <w:r w:rsidR="00C12660">
        <w:rPr>
          <w:sz w:val="24"/>
          <w:szCs w:val="24"/>
        </w:rPr>
        <w:t>that they may establish a more ‘representative’</w:t>
      </w:r>
      <w:r w:rsidRPr="00A676F7">
        <w:rPr>
          <w:sz w:val="24"/>
          <w:szCs w:val="24"/>
        </w:rPr>
        <w:t xml:space="preserve"> role to assume greater weight in discussions. Without these two categories present,</w:t>
      </w:r>
      <w:r w:rsidR="00C12660">
        <w:rPr>
          <w:sz w:val="24"/>
          <w:szCs w:val="24"/>
        </w:rPr>
        <w:t xml:space="preserve"> the organisers hoped to avoid ‘</w:t>
      </w:r>
      <w:r w:rsidRPr="00A676F7">
        <w:rPr>
          <w:sz w:val="24"/>
          <w:szCs w:val="24"/>
        </w:rPr>
        <w:t>undermining the esse</w:t>
      </w:r>
      <w:r w:rsidR="00C12660">
        <w:rPr>
          <w:sz w:val="24"/>
          <w:szCs w:val="24"/>
        </w:rPr>
        <w:t>ntial equality of the process’</w:t>
      </w:r>
      <w:r w:rsidRPr="00A676F7">
        <w:rPr>
          <w:sz w:val="24"/>
          <w:szCs w:val="24"/>
        </w:rPr>
        <w:t xml:space="preserve"> and the ways in which citizens engaged with ev</w:t>
      </w:r>
      <w:r w:rsidR="00E7247C">
        <w:rPr>
          <w:sz w:val="24"/>
          <w:szCs w:val="24"/>
        </w:rPr>
        <w:t>idence (Longley 2006:</w:t>
      </w:r>
      <w:r w:rsidRPr="00A676F7">
        <w:rPr>
          <w:sz w:val="24"/>
          <w:szCs w:val="24"/>
        </w:rPr>
        <w:t xml:space="preserve"> 2).</w:t>
      </w:r>
    </w:p>
    <w:p w:rsidR="00A676F7" w:rsidRDefault="00A676F7" w:rsidP="00A676F7">
      <w:pPr>
        <w:jc w:val="both"/>
        <w:rPr>
          <w:sz w:val="24"/>
          <w:szCs w:val="24"/>
        </w:rPr>
      </w:pPr>
      <w:r w:rsidRPr="00A676F7">
        <w:rPr>
          <w:sz w:val="24"/>
          <w:szCs w:val="24"/>
        </w:rPr>
        <w:t>In addition to the main jurors, the entire citizens</w:t>
      </w:r>
      <w:r w:rsidR="00E7247C">
        <w:rPr>
          <w:sz w:val="24"/>
          <w:szCs w:val="24"/>
        </w:rPr>
        <w:t>’</w:t>
      </w:r>
      <w:r w:rsidRPr="00A676F7">
        <w:rPr>
          <w:sz w:val="24"/>
          <w:szCs w:val="24"/>
        </w:rPr>
        <w:t xml:space="preserve"> jury on genetic testing</w:t>
      </w:r>
      <w:r w:rsidR="00E7247C">
        <w:rPr>
          <w:sz w:val="24"/>
          <w:szCs w:val="24"/>
        </w:rPr>
        <w:t xml:space="preserve"> process was open to ‘</w:t>
      </w:r>
      <w:r w:rsidR="00C12660">
        <w:rPr>
          <w:sz w:val="24"/>
          <w:szCs w:val="24"/>
        </w:rPr>
        <w:t>outside observers’</w:t>
      </w:r>
      <w:r w:rsidRPr="00A676F7">
        <w:rPr>
          <w:sz w:val="24"/>
          <w:szCs w:val="24"/>
        </w:rPr>
        <w:t xml:space="preserve">, with a total of around 50 people who attended at some point during the 4-day process. To avoid any disruption or influence, these individuals were kept separate from the jurors and watched the plenary sessions on CCTV (Longley 2006). However, it is not clear who these individuals are, what motivated them to attend, or what the impact of the evidence was on them. </w:t>
      </w:r>
    </w:p>
    <w:p w:rsidR="00C709EE" w:rsidRDefault="00870A18" w:rsidP="005F7A33">
      <w:pPr>
        <w:jc w:val="both"/>
        <w:rPr>
          <w:sz w:val="24"/>
          <w:szCs w:val="24"/>
        </w:rPr>
      </w:pPr>
      <w:r>
        <w:rPr>
          <w:sz w:val="24"/>
          <w:szCs w:val="24"/>
        </w:rPr>
        <w:t xml:space="preserve">In 2016, </w:t>
      </w:r>
      <w:r w:rsidR="008C6922">
        <w:rPr>
          <w:sz w:val="24"/>
          <w:szCs w:val="24"/>
        </w:rPr>
        <w:t xml:space="preserve">Connected Health Cities (CHC) held </w:t>
      </w:r>
      <w:r>
        <w:rPr>
          <w:sz w:val="24"/>
          <w:szCs w:val="24"/>
        </w:rPr>
        <w:t>two 4</w:t>
      </w:r>
      <w:r w:rsidR="002F1F16">
        <w:rPr>
          <w:sz w:val="24"/>
          <w:szCs w:val="24"/>
        </w:rPr>
        <w:t>-</w:t>
      </w:r>
      <w:r>
        <w:rPr>
          <w:sz w:val="24"/>
          <w:szCs w:val="24"/>
        </w:rPr>
        <w:t>day citizen</w:t>
      </w:r>
      <w:r w:rsidR="00D600F4">
        <w:rPr>
          <w:sz w:val="24"/>
          <w:szCs w:val="24"/>
        </w:rPr>
        <w:t>s’</w:t>
      </w:r>
      <w:r>
        <w:rPr>
          <w:sz w:val="24"/>
          <w:szCs w:val="24"/>
        </w:rPr>
        <w:t xml:space="preserve"> juries in Manchester and York</w:t>
      </w:r>
      <w:r w:rsidR="0005094B">
        <w:rPr>
          <w:sz w:val="24"/>
          <w:szCs w:val="24"/>
        </w:rPr>
        <w:t xml:space="preserve"> (case no.44)</w:t>
      </w:r>
      <w:r w:rsidR="00D71DCE">
        <w:rPr>
          <w:sz w:val="24"/>
          <w:szCs w:val="24"/>
        </w:rPr>
        <w:t xml:space="preserve">. </w:t>
      </w:r>
      <w:r w:rsidR="005F7A33" w:rsidRPr="005F7A33">
        <w:rPr>
          <w:sz w:val="24"/>
          <w:szCs w:val="24"/>
        </w:rPr>
        <w:t xml:space="preserve">In total, 694 people applied to be a juror by completing an on-line survey. </w:t>
      </w:r>
      <w:r w:rsidR="005F7A33">
        <w:rPr>
          <w:sz w:val="24"/>
          <w:szCs w:val="24"/>
        </w:rPr>
        <w:t xml:space="preserve">It is not clear how </w:t>
      </w:r>
      <w:r w:rsidR="00D71DCE">
        <w:rPr>
          <w:sz w:val="24"/>
          <w:szCs w:val="24"/>
        </w:rPr>
        <w:t>jurors were shortlisted, but those which were, were screen</w:t>
      </w:r>
      <w:r w:rsidR="008C6922">
        <w:rPr>
          <w:sz w:val="24"/>
          <w:szCs w:val="24"/>
        </w:rPr>
        <w:t>ed</w:t>
      </w:r>
      <w:r w:rsidR="00D71DCE">
        <w:rPr>
          <w:sz w:val="24"/>
          <w:szCs w:val="24"/>
        </w:rPr>
        <w:t xml:space="preserve"> to identify ineligible candidates through a brief telephone interview. The final sample</w:t>
      </w:r>
      <w:r w:rsidR="008C6922">
        <w:rPr>
          <w:sz w:val="24"/>
          <w:szCs w:val="24"/>
        </w:rPr>
        <w:t xml:space="preserve"> of 18 people recruited to each jury</w:t>
      </w:r>
      <w:r w:rsidR="00D71DCE">
        <w:rPr>
          <w:sz w:val="24"/>
          <w:szCs w:val="24"/>
        </w:rPr>
        <w:t xml:space="preserve"> was representative of resident adults in the Northwest of England for the Manchester jury, and resident adults in Yorkshire and Humber, Northeast and North England for the York jury. The sample was controlled for gender, age, ethnicity and educational attainment.  The jurors were paid £400 for their </w:t>
      </w:r>
      <w:r w:rsidR="008C6922">
        <w:rPr>
          <w:sz w:val="24"/>
          <w:szCs w:val="24"/>
        </w:rPr>
        <w:t>attendance and</w:t>
      </w:r>
      <w:r w:rsidR="00D71DCE">
        <w:rPr>
          <w:sz w:val="24"/>
          <w:szCs w:val="24"/>
        </w:rPr>
        <w:t xml:space="preserve"> received travel expenses according to the distance to the venue from their home (Connected Health Cities 2017).</w:t>
      </w:r>
      <w:r w:rsidR="008C6922">
        <w:rPr>
          <w:sz w:val="24"/>
          <w:szCs w:val="24"/>
        </w:rPr>
        <w:t xml:space="preserve"> </w:t>
      </w:r>
      <w:r w:rsidR="00D71DCE">
        <w:rPr>
          <w:sz w:val="24"/>
          <w:szCs w:val="24"/>
        </w:rPr>
        <w:t xml:space="preserve">Over </w:t>
      </w:r>
      <w:r w:rsidR="002F1F16">
        <w:rPr>
          <w:sz w:val="24"/>
          <w:szCs w:val="24"/>
        </w:rPr>
        <w:t>the four days</w:t>
      </w:r>
      <w:r w:rsidR="005F7A33">
        <w:rPr>
          <w:sz w:val="24"/>
          <w:szCs w:val="24"/>
        </w:rPr>
        <w:t xml:space="preserve"> in each cit</w:t>
      </w:r>
      <w:r w:rsidR="008C6922">
        <w:rPr>
          <w:sz w:val="24"/>
          <w:szCs w:val="24"/>
        </w:rPr>
        <w:t>y</w:t>
      </w:r>
      <w:r w:rsidR="00C709EE">
        <w:rPr>
          <w:sz w:val="24"/>
          <w:szCs w:val="24"/>
        </w:rPr>
        <w:t xml:space="preserve">, </w:t>
      </w:r>
      <w:r w:rsidR="002F1F16">
        <w:rPr>
          <w:sz w:val="24"/>
          <w:szCs w:val="24"/>
        </w:rPr>
        <w:t xml:space="preserve">the citizens heard from, and asked questions of, expert witnesses, and carried out </w:t>
      </w:r>
      <w:r w:rsidR="00D040BA">
        <w:rPr>
          <w:sz w:val="24"/>
          <w:szCs w:val="24"/>
        </w:rPr>
        <w:t xml:space="preserve">facilitated </w:t>
      </w:r>
      <w:r w:rsidR="002F1F16">
        <w:rPr>
          <w:sz w:val="24"/>
          <w:szCs w:val="24"/>
        </w:rPr>
        <w:t xml:space="preserve">group discussion exercises to explore the jury questions. </w:t>
      </w:r>
      <w:r w:rsidR="00D040BA">
        <w:rPr>
          <w:sz w:val="24"/>
          <w:szCs w:val="24"/>
        </w:rPr>
        <w:t>Citizens also received a ring binder of information on CHC’s health data proposals</w:t>
      </w:r>
      <w:r w:rsidR="00C709EE">
        <w:rPr>
          <w:sz w:val="24"/>
          <w:szCs w:val="24"/>
        </w:rPr>
        <w:t xml:space="preserve"> (Connected Health Cities 2017)</w:t>
      </w:r>
      <w:r w:rsidR="00D040BA">
        <w:rPr>
          <w:sz w:val="24"/>
          <w:szCs w:val="24"/>
        </w:rPr>
        <w:t xml:space="preserve">. </w:t>
      </w:r>
    </w:p>
    <w:p w:rsidR="008C6922" w:rsidRDefault="002F1F16" w:rsidP="008C6922">
      <w:pPr>
        <w:jc w:val="both"/>
        <w:rPr>
          <w:sz w:val="24"/>
          <w:szCs w:val="24"/>
        </w:rPr>
      </w:pPr>
      <w:r>
        <w:rPr>
          <w:sz w:val="24"/>
          <w:szCs w:val="24"/>
        </w:rPr>
        <w:t>The citizens were polled on their individual views at the start and end of the jury</w:t>
      </w:r>
      <w:r w:rsidR="00351AB1">
        <w:rPr>
          <w:sz w:val="24"/>
          <w:szCs w:val="24"/>
        </w:rPr>
        <w:t xml:space="preserve"> (Connected Health Cities 2017)</w:t>
      </w:r>
      <w:r>
        <w:rPr>
          <w:sz w:val="24"/>
          <w:szCs w:val="24"/>
        </w:rPr>
        <w:t xml:space="preserve">. </w:t>
      </w:r>
      <w:r w:rsidR="00C709EE">
        <w:rPr>
          <w:sz w:val="24"/>
          <w:szCs w:val="24"/>
        </w:rPr>
        <w:t xml:space="preserve"> </w:t>
      </w:r>
      <w:r w:rsidR="008C6922">
        <w:rPr>
          <w:sz w:val="24"/>
          <w:szCs w:val="24"/>
        </w:rPr>
        <w:t>As a result</w:t>
      </w:r>
      <w:r w:rsidR="00D600F4">
        <w:rPr>
          <w:sz w:val="24"/>
          <w:szCs w:val="24"/>
        </w:rPr>
        <w:t>,</w:t>
      </w:r>
      <w:r w:rsidR="008C6922">
        <w:rPr>
          <w:sz w:val="24"/>
          <w:szCs w:val="24"/>
        </w:rPr>
        <w:t xml:space="preserve"> of the evidence presentation at the CHC citizen jury, the evidence influenced the citizens. In summary, </w:t>
      </w:r>
      <w:r w:rsidR="008C6922" w:rsidRPr="00352421">
        <w:rPr>
          <w:sz w:val="24"/>
          <w:szCs w:val="24"/>
        </w:rPr>
        <w:t xml:space="preserve">most people were supportive of CHC’s planned use of health data. A significant minority did not support use of data for identifying frail elderly people who could be followed up for extra care or data for planning future demand for A&amp;E service. </w:t>
      </w:r>
      <w:r w:rsidR="00C709EE" w:rsidRPr="00352421">
        <w:rPr>
          <w:sz w:val="24"/>
          <w:szCs w:val="24"/>
        </w:rPr>
        <w:t>Most</w:t>
      </w:r>
      <w:r w:rsidR="008C6922" w:rsidRPr="00352421">
        <w:rPr>
          <w:sz w:val="24"/>
          <w:szCs w:val="24"/>
        </w:rPr>
        <w:t xml:space="preserve"> jurors supported the potential use of data by industry partners. Jurors who voted against proposed uses often did so because they doubted the potential public benefit that would arise. Many of the jury changed their views to become more supportive in general of data sharing, even though they may have become less supportive of specific planned or potential uses</w:t>
      </w:r>
      <w:r w:rsidR="008C6922">
        <w:rPr>
          <w:sz w:val="24"/>
          <w:szCs w:val="24"/>
        </w:rPr>
        <w:t xml:space="preserve"> (Connected Health Cities 2017)</w:t>
      </w:r>
      <w:r w:rsidR="008C6922" w:rsidRPr="00352421">
        <w:rPr>
          <w:sz w:val="24"/>
          <w:szCs w:val="24"/>
        </w:rPr>
        <w:t>.</w:t>
      </w:r>
    </w:p>
    <w:p w:rsidR="007C6A80" w:rsidRPr="007C6A80" w:rsidRDefault="007C6A80" w:rsidP="007C6A80">
      <w:pPr>
        <w:spacing w:after="0" w:line="240" w:lineRule="auto"/>
        <w:jc w:val="both"/>
        <w:rPr>
          <w:sz w:val="24"/>
          <w:szCs w:val="24"/>
        </w:rPr>
      </w:pPr>
      <w:r w:rsidRPr="007C6A80">
        <w:rPr>
          <w:sz w:val="24"/>
          <w:szCs w:val="24"/>
        </w:rPr>
        <w:t>In October 2016, a 2-day citizen jury was held in North East Scotland to discuss community bonfires</w:t>
      </w:r>
      <w:r w:rsidR="0005094B">
        <w:rPr>
          <w:sz w:val="24"/>
          <w:szCs w:val="24"/>
        </w:rPr>
        <w:t xml:space="preserve"> (case no.47)</w:t>
      </w:r>
      <w:r w:rsidRPr="007C6A80">
        <w:rPr>
          <w:sz w:val="24"/>
          <w:szCs w:val="24"/>
        </w:rPr>
        <w:t xml:space="preserve">. </w:t>
      </w:r>
      <w:r w:rsidR="008C6922">
        <w:rPr>
          <w:sz w:val="24"/>
          <w:szCs w:val="24"/>
        </w:rPr>
        <w:t>Bland (2017)</w:t>
      </w:r>
      <w:r w:rsidRPr="007C6A80">
        <w:rPr>
          <w:sz w:val="24"/>
          <w:szCs w:val="24"/>
        </w:rPr>
        <w:t xml:space="preserve"> claim</w:t>
      </w:r>
      <w:r w:rsidR="008C6922">
        <w:rPr>
          <w:sz w:val="24"/>
          <w:szCs w:val="24"/>
        </w:rPr>
        <w:t>s</w:t>
      </w:r>
      <w:r w:rsidRPr="007C6A80">
        <w:rPr>
          <w:sz w:val="24"/>
          <w:szCs w:val="24"/>
        </w:rPr>
        <w:t xml:space="preserve"> that this </w:t>
      </w:r>
      <w:r w:rsidR="008C6922">
        <w:rPr>
          <w:sz w:val="24"/>
          <w:szCs w:val="24"/>
        </w:rPr>
        <w:t xml:space="preserve">was </w:t>
      </w:r>
      <w:r w:rsidRPr="007C6A80">
        <w:rPr>
          <w:sz w:val="24"/>
          <w:szCs w:val="24"/>
        </w:rPr>
        <w:t>the first time that a citizens’ jury ha</w:t>
      </w:r>
      <w:r w:rsidR="008C6922">
        <w:rPr>
          <w:sz w:val="24"/>
          <w:szCs w:val="24"/>
        </w:rPr>
        <w:t>d</w:t>
      </w:r>
      <w:r w:rsidRPr="007C6A80">
        <w:rPr>
          <w:sz w:val="24"/>
          <w:szCs w:val="24"/>
        </w:rPr>
        <w:t xml:space="preserve"> been used in police-community engagement in Scotland and the wider U</w:t>
      </w:r>
      <w:r w:rsidR="008C6922">
        <w:rPr>
          <w:sz w:val="24"/>
          <w:szCs w:val="24"/>
        </w:rPr>
        <w:t>K</w:t>
      </w:r>
      <w:r w:rsidRPr="007C6A80">
        <w:rPr>
          <w:sz w:val="24"/>
          <w:szCs w:val="24"/>
        </w:rPr>
        <w:t xml:space="preserve">. </w:t>
      </w:r>
      <w:r w:rsidR="008C6922">
        <w:rPr>
          <w:sz w:val="24"/>
          <w:szCs w:val="24"/>
        </w:rPr>
        <w:t>The mini-public was convened as l</w:t>
      </w:r>
      <w:r w:rsidRPr="007C6A80">
        <w:rPr>
          <w:sz w:val="24"/>
          <w:szCs w:val="24"/>
        </w:rPr>
        <w:t>ocal police, fire service and council were concerned about a community bonfire</w:t>
      </w:r>
      <w:r w:rsidR="00D600F4">
        <w:rPr>
          <w:sz w:val="24"/>
          <w:szCs w:val="24"/>
        </w:rPr>
        <w:t>,</w:t>
      </w:r>
      <w:r w:rsidRPr="007C6A80">
        <w:rPr>
          <w:sz w:val="24"/>
          <w:szCs w:val="24"/>
        </w:rPr>
        <w:t xml:space="preserve"> but the relationship with the organisers had </w:t>
      </w:r>
      <w:r w:rsidR="00D600F4">
        <w:rPr>
          <w:sz w:val="24"/>
          <w:szCs w:val="24"/>
        </w:rPr>
        <w:t>‘</w:t>
      </w:r>
      <w:r w:rsidRPr="007C6A80">
        <w:rPr>
          <w:sz w:val="24"/>
          <w:szCs w:val="24"/>
        </w:rPr>
        <w:t>broken down</w:t>
      </w:r>
      <w:r w:rsidR="00D600F4">
        <w:rPr>
          <w:sz w:val="24"/>
          <w:szCs w:val="24"/>
        </w:rPr>
        <w:t>’</w:t>
      </w:r>
      <w:r w:rsidRPr="007C6A80">
        <w:rPr>
          <w:sz w:val="24"/>
          <w:szCs w:val="24"/>
        </w:rPr>
        <w:t xml:space="preserve"> and the jury was </w:t>
      </w:r>
      <w:r w:rsidR="00D600F4">
        <w:rPr>
          <w:sz w:val="24"/>
          <w:szCs w:val="24"/>
        </w:rPr>
        <w:t>‘</w:t>
      </w:r>
      <w:r w:rsidRPr="007C6A80">
        <w:rPr>
          <w:sz w:val="24"/>
          <w:szCs w:val="24"/>
        </w:rPr>
        <w:t>seen by all parties as offering a kind of mediation</w:t>
      </w:r>
      <w:r w:rsidR="00D600F4">
        <w:rPr>
          <w:sz w:val="24"/>
          <w:szCs w:val="24"/>
        </w:rPr>
        <w:t>’</w:t>
      </w:r>
      <w:r w:rsidRPr="007C6A80">
        <w:rPr>
          <w:sz w:val="24"/>
          <w:szCs w:val="24"/>
        </w:rPr>
        <w:t xml:space="preserve"> (Bland 2017</w:t>
      </w:r>
      <w:r w:rsidR="00D600F4">
        <w:rPr>
          <w:sz w:val="24"/>
          <w:szCs w:val="24"/>
        </w:rPr>
        <w:t xml:space="preserve">: </w:t>
      </w:r>
      <w:r w:rsidRPr="007C6A80">
        <w:rPr>
          <w:sz w:val="24"/>
          <w:szCs w:val="24"/>
        </w:rPr>
        <w:t xml:space="preserve">31). Typically, citizens’ juries last for five days, but this citizen jury lasted two days as this was considered </w:t>
      </w:r>
      <w:r w:rsidR="00D600F4">
        <w:rPr>
          <w:sz w:val="24"/>
          <w:szCs w:val="24"/>
        </w:rPr>
        <w:t>‘</w:t>
      </w:r>
      <w:r w:rsidRPr="007C6A80">
        <w:rPr>
          <w:sz w:val="24"/>
          <w:szCs w:val="24"/>
        </w:rPr>
        <w:t>feasible and affordable</w:t>
      </w:r>
      <w:r w:rsidR="00D600F4">
        <w:rPr>
          <w:sz w:val="24"/>
          <w:szCs w:val="24"/>
        </w:rPr>
        <w:t xml:space="preserve">’ (Bland 2017: </w:t>
      </w:r>
      <w:r w:rsidRPr="007C6A80">
        <w:rPr>
          <w:sz w:val="24"/>
          <w:szCs w:val="24"/>
        </w:rPr>
        <w:t xml:space="preserve">31). Sixteen citizens attended the first day, but only 12 of these attended the second </w:t>
      </w:r>
      <w:r w:rsidRPr="007C6A80">
        <w:rPr>
          <w:sz w:val="24"/>
          <w:szCs w:val="24"/>
        </w:rPr>
        <w:lastRenderedPageBreak/>
        <w:t xml:space="preserve">day, despite jurors being compensated for their time, with the organisers attributing the 4 jurors’ absence to </w:t>
      </w:r>
      <w:r w:rsidR="00D600F4">
        <w:rPr>
          <w:sz w:val="24"/>
          <w:szCs w:val="24"/>
        </w:rPr>
        <w:t>‘</w:t>
      </w:r>
      <w:r w:rsidRPr="007C6A80">
        <w:rPr>
          <w:sz w:val="24"/>
          <w:szCs w:val="24"/>
        </w:rPr>
        <w:t>reasons outside of their control</w:t>
      </w:r>
      <w:r w:rsidR="00D600F4">
        <w:rPr>
          <w:sz w:val="24"/>
          <w:szCs w:val="24"/>
        </w:rPr>
        <w:t xml:space="preserve">’ (Bland 2017: </w:t>
      </w:r>
      <w:r w:rsidRPr="007C6A80">
        <w:rPr>
          <w:sz w:val="24"/>
          <w:szCs w:val="24"/>
        </w:rPr>
        <w:t xml:space="preserve">31).  The two jury sessions took place on consecutive Wednesdays, from 9am to 5pm. Although the reasons for their absence is not stated, one reason could be because of the timing of the sessions, with jurors potentially affected by work and childcare commitments. In terms of how the citizens’ jury influenced </w:t>
      </w:r>
      <w:r w:rsidR="00D600F4">
        <w:rPr>
          <w:sz w:val="24"/>
          <w:szCs w:val="24"/>
        </w:rPr>
        <w:t>the participants</w:t>
      </w:r>
      <w:r w:rsidRPr="007C6A80">
        <w:rPr>
          <w:sz w:val="24"/>
          <w:szCs w:val="24"/>
        </w:rPr>
        <w:t xml:space="preserve"> engagement with the evidence, the jury admitted initial doubt about the process, but by the end there was a unanimous support for the experience and all held a positive view about the deliberation process</w:t>
      </w:r>
      <w:r w:rsidR="00D600F4">
        <w:rPr>
          <w:sz w:val="24"/>
          <w:szCs w:val="24"/>
        </w:rPr>
        <w:t>. I</w:t>
      </w:r>
      <w:r w:rsidRPr="007C6A80">
        <w:rPr>
          <w:sz w:val="24"/>
          <w:szCs w:val="24"/>
        </w:rPr>
        <w:t>t was felt that they worked well, and the discussion had helped them make up their minds about the future organisation of the bonfire event</w:t>
      </w:r>
      <w:r w:rsidR="008C6922">
        <w:rPr>
          <w:sz w:val="24"/>
          <w:szCs w:val="24"/>
        </w:rPr>
        <w:t xml:space="preserve"> (Bland 2017)</w:t>
      </w:r>
      <w:r w:rsidRPr="007C6A80">
        <w:rPr>
          <w:sz w:val="24"/>
          <w:szCs w:val="24"/>
        </w:rPr>
        <w:t>.</w:t>
      </w:r>
    </w:p>
    <w:p w:rsidR="007C6A80" w:rsidRDefault="007C6A80" w:rsidP="005F7A33">
      <w:pPr>
        <w:jc w:val="both"/>
        <w:rPr>
          <w:sz w:val="24"/>
          <w:szCs w:val="24"/>
        </w:rPr>
      </w:pPr>
    </w:p>
    <w:p w:rsidR="00A676F7" w:rsidRPr="000E7433" w:rsidRDefault="00A676F7" w:rsidP="00A676F7">
      <w:pPr>
        <w:numPr>
          <w:ilvl w:val="0"/>
          <w:numId w:val="14"/>
        </w:numPr>
        <w:jc w:val="both"/>
        <w:rPr>
          <w:b/>
          <w:i/>
          <w:color w:val="0B5484" w:themeColor="accent1" w:themeShade="80"/>
          <w:sz w:val="24"/>
          <w:szCs w:val="24"/>
          <w:lang w:val="it-IT"/>
        </w:rPr>
      </w:pPr>
      <w:r w:rsidRPr="000E7433">
        <w:rPr>
          <w:b/>
          <w:i/>
          <w:color w:val="0B5484" w:themeColor="accent1" w:themeShade="80"/>
          <w:sz w:val="24"/>
          <w:szCs w:val="24"/>
          <w:lang w:val="it-IT"/>
        </w:rPr>
        <w:t>Are there any trends across the cases in each country that suggest some types of mini-public have had more frequent and extensive impact on social policy and practice than others?</w:t>
      </w:r>
    </w:p>
    <w:p w:rsidR="00A676F7" w:rsidRPr="00A676F7" w:rsidRDefault="00745C82" w:rsidP="00A676F7">
      <w:pPr>
        <w:jc w:val="both"/>
        <w:rPr>
          <w:sz w:val="24"/>
          <w:szCs w:val="24"/>
        </w:rPr>
      </w:pPr>
      <w:r>
        <w:rPr>
          <w:sz w:val="24"/>
          <w:szCs w:val="24"/>
        </w:rPr>
        <w:t>The mini-</w:t>
      </w:r>
      <w:r w:rsidR="00A676F7" w:rsidRPr="00A676F7">
        <w:rPr>
          <w:sz w:val="24"/>
          <w:szCs w:val="24"/>
        </w:rPr>
        <w:t xml:space="preserve">publics in the UK were held across numerous policy areas, including </w:t>
      </w:r>
      <w:r w:rsidR="00ED1432">
        <w:rPr>
          <w:sz w:val="24"/>
          <w:szCs w:val="24"/>
        </w:rPr>
        <w:t xml:space="preserve">policing, </w:t>
      </w:r>
      <w:r w:rsidR="00A676F7" w:rsidRPr="00A676F7">
        <w:rPr>
          <w:sz w:val="24"/>
          <w:szCs w:val="24"/>
        </w:rPr>
        <w:t>health, education, and social benefit</w:t>
      </w:r>
      <w:r>
        <w:rPr>
          <w:sz w:val="24"/>
          <w:szCs w:val="24"/>
        </w:rPr>
        <w:t>s</w:t>
      </w:r>
      <w:r w:rsidR="00A676F7" w:rsidRPr="00A676F7">
        <w:rPr>
          <w:sz w:val="24"/>
          <w:szCs w:val="24"/>
        </w:rPr>
        <w:t xml:space="preserve">. </w:t>
      </w:r>
    </w:p>
    <w:p w:rsidR="00363B59" w:rsidRPr="00A676F7" w:rsidRDefault="00745C82" w:rsidP="00363B59">
      <w:pPr>
        <w:jc w:val="both"/>
        <w:rPr>
          <w:i/>
          <w:sz w:val="24"/>
          <w:szCs w:val="24"/>
          <w:lang w:val="it-IT"/>
        </w:rPr>
      </w:pPr>
      <w:r>
        <w:rPr>
          <w:sz w:val="24"/>
          <w:szCs w:val="24"/>
        </w:rPr>
        <w:t>A deliberative</w:t>
      </w:r>
      <w:r w:rsidR="00A676F7" w:rsidRPr="00A676F7">
        <w:rPr>
          <w:sz w:val="24"/>
          <w:szCs w:val="24"/>
        </w:rPr>
        <w:t xml:space="preserve"> poll on education held in </w:t>
      </w:r>
      <w:proofErr w:type="spellStart"/>
      <w:r w:rsidR="00A676F7" w:rsidRPr="00A676F7">
        <w:rPr>
          <w:sz w:val="24"/>
          <w:szCs w:val="24"/>
        </w:rPr>
        <w:t>Omagh</w:t>
      </w:r>
      <w:proofErr w:type="spellEnd"/>
      <w:r w:rsidR="00A676F7" w:rsidRPr="00A676F7">
        <w:rPr>
          <w:sz w:val="24"/>
          <w:szCs w:val="24"/>
        </w:rPr>
        <w:t xml:space="preserve"> during 2007 with 127 parents of school children, helped influence policy</w:t>
      </w:r>
      <w:r w:rsidR="0005094B">
        <w:rPr>
          <w:sz w:val="24"/>
          <w:szCs w:val="24"/>
        </w:rPr>
        <w:t xml:space="preserve"> (case no. 42)</w:t>
      </w:r>
      <w:r w:rsidR="00A676F7" w:rsidRPr="00A676F7">
        <w:rPr>
          <w:sz w:val="24"/>
          <w:szCs w:val="24"/>
        </w:rPr>
        <w:t>. Luskin et al</w:t>
      </w:r>
      <w:r w:rsidR="00363B59">
        <w:rPr>
          <w:sz w:val="24"/>
          <w:szCs w:val="24"/>
        </w:rPr>
        <w:t>.</w:t>
      </w:r>
      <w:r w:rsidR="00A676F7" w:rsidRPr="00A676F7">
        <w:rPr>
          <w:sz w:val="24"/>
          <w:szCs w:val="24"/>
        </w:rPr>
        <w:t>’s review analysed the ways deliberative polls could be used to foster political and social cohesion. The research found that deliberative polls can be the key to a more conciliatory politics, they can encourage politic</w:t>
      </w:r>
      <w:r w:rsidR="00363B59">
        <w:rPr>
          <w:sz w:val="24"/>
          <w:szCs w:val="24"/>
        </w:rPr>
        <w:t>ians to work together, and can ‘</w:t>
      </w:r>
      <w:r w:rsidR="00A676F7" w:rsidRPr="00A676F7">
        <w:rPr>
          <w:sz w:val="24"/>
          <w:szCs w:val="24"/>
        </w:rPr>
        <w:t>undercut the positions of hardliners de</w:t>
      </w:r>
      <w:r w:rsidR="00363B59">
        <w:rPr>
          <w:sz w:val="24"/>
          <w:szCs w:val="24"/>
        </w:rPr>
        <w:t>crying compromise as a sell-out</w:t>
      </w:r>
      <w:r w:rsidR="00A676F7" w:rsidRPr="00A676F7">
        <w:rPr>
          <w:sz w:val="24"/>
          <w:szCs w:val="24"/>
        </w:rPr>
        <w:t>,</w:t>
      </w:r>
      <w:r w:rsidR="00363B59">
        <w:rPr>
          <w:sz w:val="24"/>
          <w:szCs w:val="24"/>
        </w:rPr>
        <w:t>’</w:t>
      </w:r>
      <w:r w:rsidR="00A676F7" w:rsidRPr="00A676F7">
        <w:rPr>
          <w:sz w:val="24"/>
          <w:szCs w:val="24"/>
        </w:rPr>
        <w:t xml:space="preserve"> and help foster constructive dialogue between communities </w:t>
      </w:r>
      <w:r>
        <w:rPr>
          <w:sz w:val="24"/>
          <w:szCs w:val="24"/>
        </w:rPr>
        <w:t xml:space="preserve">in deeply divided societies </w:t>
      </w:r>
      <w:r w:rsidR="00A676F7" w:rsidRPr="00A676F7">
        <w:rPr>
          <w:sz w:val="24"/>
          <w:szCs w:val="24"/>
        </w:rPr>
        <w:t>(Luskin</w:t>
      </w:r>
      <w:r w:rsidR="00363B59">
        <w:rPr>
          <w:sz w:val="24"/>
          <w:szCs w:val="24"/>
        </w:rPr>
        <w:t xml:space="preserve"> et al.</w:t>
      </w:r>
      <w:r w:rsidR="00A676F7" w:rsidRPr="00A676F7">
        <w:rPr>
          <w:sz w:val="24"/>
          <w:szCs w:val="24"/>
        </w:rPr>
        <w:t xml:space="preserve"> 2014).</w:t>
      </w:r>
      <w:r w:rsidR="00363B59" w:rsidRPr="00363B59">
        <w:rPr>
          <w:sz w:val="24"/>
          <w:szCs w:val="24"/>
        </w:rPr>
        <w:t xml:space="preserve"> </w:t>
      </w:r>
      <w:r w:rsidR="00363B59" w:rsidRPr="00A676F7">
        <w:rPr>
          <w:sz w:val="24"/>
          <w:szCs w:val="24"/>
        </w:rPr>
        <w:t xml:space="preserve">Channel 4 held a Deliberative Poll on the NHS. </w:t>
      </w:r>
      <w:r w:rsidR="00363B59">
        <w:rPr>
          <w:sz w:val="24"/>
          <w:szCs w:val="24"/>
        </w:rPr>
        <w:t>T</w:t>
      </w:r>
      <w:r w:rsidR="00363B59" w:rsidRPr="00A676F7">
        <w:rPr>
          <w:sz w:val="24"/>
          <w:szCs w:val="24"/>
        </w:rPr>
        <w:t>here was a review of the influence of the evidence on policy, which concluded that because the participants were reluctant to endorse any clear departure from current policy, there was minimal policy impact</w:t>
      </w:r>
      <w:r w:rsidR="00363B59">
        <w:rPr>
          <w:sz w:val="24"/>
          <w:szCs w:val="24"/>
        </w:rPr>
        <w:t xml:space="preserve"> </w:t>
      </w:r>
      <w:r w:rsidR="00363B59" w:rsidRPr="00D579FE">
        <w:rPr>
          <w:sz w:val="24"/>
          <w:szCs w:val="24"/>
        </w:rPr>
        <w:t>(</w:t>
      </w:r>
      <w:proofErr w:type="spellStart"/>
      <w:r w:rsidR="00363B59" w:rsidRPr="00D579FE">
        <w:rPr>
          <w:sz w:val="24"/>
          <w:szCs w:val="24"/>
        </w:rPr>
        <w:t>Fishkin</w:t>
      </w:r>
      <w:proofErr w:type="spellEnd"/>
      <w:r w:rsidR="00363B59" w:rsidRPr="00D579FE">
        <w:rPr>
          <w:sz w:val="24"/>
          <w:szCs w:val="24"/>
        </w:rPr>
        <w:t xml:space="preserve"> &amp; Luskin 2006).</w:t>
      </w:r>
      <w:r w:rsidR="00363B59" w:rsidRPr="00A676F7">
        <w:rPr>
          <w:sz w:val="24"/>
          <w:szCs w:val="24"/>
        </w:rPr>
        <w:t xml:space="preserve"> </w:t>
      </w:r>
    </w:p>
    <w:p w:rsidR="00A676F7" w:rsidRPr="00A676F7" w:rsidRDefault="00363B59" w:rsidP="00A676F7">
      <w:pPr>
        <w:jc w:val="both"/>
        <w:rPr>
          <w:sz w:val="24"/>
          <w:szCs w:val="24"/>
        </w:rPr>
      </w:pPr>
      <w:r>
        <w:rPr>
          <w:sz w:val="24"/>
          <w:szCs w:val="24"/>
        </w:rPr>
        <w:t>T</w:t>
      </w:r>
      <w:r w:rsidR="00A676F7" w:rsidRPr="00A676F7">
        <w:rPr>
          <w:sz w:val="24"/>
          <w:szCs w:val="24"/>
        </w:rPr>
        <w:t>he citizens</w:t>
      </w:r>
      <w:r w:rsidR="00745C82">
        <w:rPr>
          <w:sz w:val="24"/>
          <w:szCs w:val="24"/>
        </w:rPr>
        <w:t>’</w:t>
      </w:r>
      <w:r w:rsidR="00A676F7" w:rsidRPr="00A676F7">
        <w:rPr>
          <w:sz w:val="24"/>
          <w:szCs w:val="24"/>
        </w:rPr>
        <w:t xml:space="preserve"> jury on nanotechnology – </w:t>
      </w:r>
      <w:proofErr w:type="spellStart"/>
      <w:r w:rsidR="00A676F7" w:rsidRPr="00A676F7">
        <w:rPr>
          <w:sz w:val="24"/>
          <w:szCs w:val="24"/>
        </w:rPr>
        <w:t>NanoJury</w:t>
      </w:r>
      <w:proofErr w:type="spellEnd"/>
      <w:r w:rsidR="00A676F7" w:rsidRPr="00A676F7">
        <w:rPr>
          <w:sz w:val="24"/>
          <w:szCs w:val="24"/>
        </w:rPr>
        <w:t xml:space="preserve"> UK – also analy</w:t>
      </w:r>
      <w:r w:rsidR="00745C82">
        <w:rPr>
          <w:sz w:val="24"/>
          <w:szCs w:val="24"/>
        </w:rPr>
        <w:t>se</w:t>
      </w:r>
      <w:r>
        <w:rPr>
          <w:sz w:val="24"/>
          <w:szCs w:val="24"/>
        </w:rPr>
        <w:t>d</w:t>
      </w:r>
      <w:r w:rsidR="00745C82">
        <w:rPr>
          <w:sz w:val="24"/>
          <w:szCs w:val="24"/>
        </w:rPr>
        <w:t xml:space="preserve"> if and how this type of mini-</w:t>
      </w:r>
      <w:r w:rsidR="00A676F7" w:rsidRPr="00A676F7">
        <w:rPr>
          <w:sz w:val="24"/>
          <w:szCs w:val="24"/>
        </w:rPr>
        <w:t>public could be used in science</w:t>
      </w:r>
      <w:r w:rsidR="0005094B">
        <w:rPr>
          <w:sz w:val="24"/>
          <w:szCs w:val="24"/>
        </w:rPr>
        <w:t xml:space="preserve"> (case no.49)</w:t>
      </w:r>
      <w:r w:rsidR="00A676F7" w:rsidRPr="00A676F7">
        <w:rPr>
          <w:sz w:val="24"/>
          <w:szCs w:val="24"/>
        </w:rPr>
        <w:t xml:space="preserve">. Prior to it, there had been concerns that the public focus too heavily on negative issues and risks when appraising new technology. However, when presented with a balanced and varied range of views, </w:t>
      </w:r>
      <w:r w:rsidR="00A676F7" w:rsidRPr="00A676F7">
        <w:rPr>
          <w:sz w:val="24"/>
          <w:szCs w:val="24"/>
          <w:lang w:val="it-IT"/>
        </w:rPr>
        <w:t>Rogers-Hayden &amp; Pidgeon (2006</w:t>
      </w:r>
      <w:r w:rsidR="00745C82">
        <w:rPr>
          <w:sz w:val="24"/>
          <w:szCs w:val="24"/>
          <w:lang w:val="it-IT"/>
        </w:rPr>
        <w:t xml:space="preserve">: </w:t>
      </w:r>
      <w:r w:rsidR="00A676F7" w:rsidRPr="00A676F7">
        <w:rPr>
          <w:sz w:val="24"/>
          <w:szCs w:val="24"/>
          <w:lang w:val="it-IT"/>
        </w:rPr>
        <w:t xml:space="preserve">177) </w:t>
      </w:r>
      <w:r w:rsidR="00A676F7" w:rsidRPr="00A676F7">
        <w:rPr>
          <w:sz w:val="24"/>
          <w:szCs w:val="24"/>
        </w:rPr>
        <w:t>found this not to be the case, and it was concluded that the science and</w:t>
      </w:r>
      <w:r>
        <w:rPr>
          <w:sz w:val="24"/>
          <w:szCs w:val="24"/>
        </w:rPr>
        <w:t xml:space="preserve"> business community should not ‘fear’</w:t>
      </w:r>
      <w:r w:rsidR="00A676F7" w:rsidRPr="00A676F7">
        <w:rPr>
          <w:sz w:val="24"/>
          <w:szCs w:val="24"/>
        </w:rPr>
        <w:t xml:space="preserve"> public engagement. </w:t>
      </w:r>
    </w:p>
    <w:p w:rsidR="00A676F7" w:rsidRDefault="00A676F7" w:rsidP="00A676F7">
      <w:pPr>
        <w:jc w:val="both"/>
        <w:rPr>
          <w:sz w:val="24"/>
          <w:szCs w:val="24"/>
        </w:rPr>
      </w:pPr>
      <w:r w:rsidRPr="00A676F7">
        <w:rPr>
          <w:sz w:val="24"/>
          <w:szCs w:val="24"/>
        </w:rPr>
        <w:t>This was similar to the citizens</w:t>
      </w:r>
      <w:r w:rsidR="00745C82">
        <w:rPr>
          <w:sz w:val="24"/>
          <w:szCs w:val="24"/>
        </w:rPr>
        <w:t>’</w:t>
      </w:r>
      <w:r w:rsidRPr="00A676F7">
        <w:rPr>
          <w:sz w:val="24"/>
          <w:szCs w:val="24"/>
        </w:rPr>
        <w:t xml:space="preserve"> jury on gen</w:t>
      </w:r>
      <w:r w:rsidR="00745C82">
        <w:rPr>
          <w:sz w:val="24"/>
          <w:szCs w:val="24"/>
        </w:rPr>
        <w:t>etic testing</w:t>
      </w:r>
      <w:r w:rsidR="0005094B">
        <w:rPr>
          <w:sz w:val="24"/>
          <w:szCs w:val="24"/>
        </w:rPr>
        <w:t xml:space="preserve"> (case no.48)</w:t>
      </w:r>
      <w:r w:rsidR="00745C82">
        <w:rPr>
          <w:sz w:val="24"/>
          <w:szCs w:val="24"/>
        </w:rPr>
        <w:t>. Prior to the mini-</w:t>
      </w:r>
      <w:r w:rsidR="00363B59">
        <w:rPr>
          <w:sz w:val="24"/>
          <w:szCs w:val="24"/>
        </w:rPr>
        <w:t>public, critics had said that ‘</w:t>
      </w:r>
      <w:r w:rsidRPr="00A676F7">
        <w:rPr>
          <w:sz w:val="24"/>
          <w:szCs w:val="24"/>
        </w:rPr>
        <w:t>a group of lay people would be led by the witnesses to reach the conclusions [they] wanted or would fail to understand the complexit</w:t>
      </w:r>
      <w:r w:rsidR="00363B59">
        <w:rPr>
          <w:sz w:val="24"/>
          <w:szCs w:val="24"/>
        </w:rPr>
        <w:t>y of the subject’</w:t>
      </w:r>
      <w:r w:rsidR="00745C82">
        <w:rPr>
          <w:sz w:val="24"/>
          <w:szCs w:val="24"/>
        </w:rPr>
        <w:t xml:space="preserve"> (Longley 2006: 6). However, Longley </w:t>
      </w:r>
      <w:r w:rsidRPr="00A676F7">
        <w:rPr>
          <w:sz w:val="24"/>
          <w:szCs w:val="24"/>
        </w:rPr>
        <w:t>concludes that the citizens</w:t>
      </w:r>
      <w:r w:rsidR="00745C82">
        <w:rPr>
          <w:sz w:val="24"/>
          <w:szCs w:val="24"/>
        </w:rPr>
        <w:t>’</w:t>
      </w:r>
      <w:r w:rsidRPr="00A676F7">
        <w:rPr>
          <w:sz w:val="24"/>
          <w:szCs w:val="24"/>
        </w:rPr>
        <w:t xml:space="preserve"> jury</w:t>
      </w:r>
      <w:r w:rsidR="00745C82">
        <w:rPr>
          <w:sz w:val="24"/>
          <w:szCs w:val="24"/>
        </w:rPr>
        <w:t xml:space="preserve"> ‘</w:t>
      </w:r>
      <w:r w:rsidRPr="00A676F7">
        <w:rPr>
          <w:sz w:val="24"/>
          <w:szCs w:val="24"/>
        </w:rPr>
        <w:t>emph</w:t>
      </w:r>
      <w:r w:rsidR="00745C82">
        <w:rPr>
          <w:sz w:val="24"/>
          <w:szCs w:val="24"/>
        </w:rPr>
        <w:t>atically answered those critics’ and ‘</w:t>
      </w:r>
      <w:r w:rsidRPr="00A676F7">
        <w:rPr>
          <w:sz w:val="24"/>
          <w:szCs w:val="24"/>
        </w:rPr>
        <w:t>of</w:t>
      </w:r>
      <w:r w:rsidR="00745C82">
        <w:rPr>
          <w:sz w:val="24"/>
          <w:szCs w:val="24"/>
        </w:rPr>
        <w:t>fer a useful way of empowering “ordinary”</w:t>
      </w:r>
      <w:r w:rsidRPr="00A676F7">
        <w:rPr>
          <w:sz w:val="24"/>
          <w:szCs w:val="24"/>
        </w:rPr>
        <w:t xml:space="preserve"> people to influence the policy-making process</w:t>
      </w:r>
      <w:r w:rsidR="00745C82">
        <w:rPr>
          <w:sz w:val="24"/>
          <w:szCs w:val="24"/>
        </w:rPr>
        <w:t xml:space="preserve">’ (Longley 2006: </w:t>
      </w:r>
      <w:r w:rsidRPr="00A676F7">
        <w:rPr>
          <w:sz w:val="24"/>
          <w:szCs w:val="24"/>
        </w:rPr>
        <w:t>6).</w:t>
      </w:r>
    </w:p>
    <w:p w:rsidR="00ED1432" w:rsidRDefault="00ED1432" w:rsidP="00ED1432">
      <w:pPr>
        <w:spacing w:after="0" w:line="240" w:lineRule="auto"/>
        <w:jc w:val="both"/>
        <w:rPr>
          <w:sz w:val="24"/>
          <w:szCs w:val="24"/>
        </w:rPr>
      </w:pPr>
      <w:r>
        <w:rPr>
          <w:sz w:val="24"/>
          <w:szCs w:val="24"/>
        </w:rPr>
        <w:t>The citizens’ jury on community bonfires</w:t>
      </w:r>
      <w:r w:rsidR="00C709EE">
        <w:rPr>
          <w:sz w:val="24"/>
          <w:szCs w:val="24"/>
        </w:rPr>
        <w:t xml:space="preserve"> </w:t>
      </w:r>
      <w:r>
        <w:rPr>
          <w:sz w:val="24"/>
          <w:szCs w:val="24"/>
        </w:rPr>
        <w:t>held in Scotland</w:t>
      </w:r>
      <w:r w:rsidR="00C709EE">
        <w:rPr>
          <w:sz w:val="24"/>
          <w:szCs w:val="24"/>
        </w:rPr>
        <w:t xml:space="preserve"> </w:t>
      </w:r>
      <w:r>
        <w:rPr>
          <w:sz w:val="24"/>
          <w:szCs w:val="24"/>
        </w:rPr>
        <w:t xml:space="preserve">also revealed that mini-publics can </w:t>
      </w:r>
      <w:r w:rsidR="008C6922">
        <w:rPr>
          <w:sz w:val="24"/>
          <w:szCs w:val="24"/>
        </w:rPr>
        <w:t>usefully involve the public in decision making</w:t>
      </w:r>
      <w:r w:rsidR="0005094B">
        <w:rPr>
          <w:sz w:val="24"/>
          <w:szCs w:val="24"/>
        </w:rPr>
        <w:t xml:space="preserve"> (case no.47)</w:t>
      </w:r>
      <w:r w:rsidR="008C6922">
        <w:rPr>
          <w:sz w:val="24"/>
          <w:szCs w:val="24"/>
        </w:rPr>
        <w:t>. Bland (2017</w:t>
      </w:r>
      <w:r w:rsidR="00D600F4">
        <w:rPr>
          <w:sz w:val="24"/>
          <w:szCs w:val="24"/>
        </w:rPr>
        <w:t xml:space="preserve">: </w:t>
      </w:r>
      <w:r w:rsidR="008C6922">
        <w:rPr>
          <w:sz w:val="24"/>
          <w:szCs w:val="24"/>
        </w:rPr>
        <w:t>32) states that the citizen</w:t>
      </w:r>
      <w:r w:rsidR="00D600F4">
        <w:rPr>
          <w:sz w:val="24"/>
          <w:szCs w:val="24"/>
        </w:rPr>
        <w:t>s’</w:t>
      </w:r>
      <w:r w:rsidR="008C6922">
        <w:rPr>
          <w:sz w:val="24"/>
          <w:szCs w:val="24"/>
        </w:rPr>
        <w:t xml:space="preserve"> jury </w:t>
      </w:r>
      <w:r>
        <w:rPr>
          <w:sz w:val="24"/>
          <w:szCs w:val="24"/>
        </w:rPr>
        <w:t>activate</w:t>
      </w:r>
      <w:r w:rsidR="008C6922">
        <w:rPr>
          <w:sz w:val="24"/>
          <w:szCs w:val="24"/>
        </w:rPr>
        <w:t>d</w:t>
      </w:r>
      <w:r>
        <w:rPr>
          <w:sz w:val="24"/>
          <w:szCs w:val="24"/>
        </w:rPr>
        <w:t xml:space="preserve"> </w:t>
      </w:r>
      <w:r w:rsidR="00D600F4">
        <w:rPr>
          <w:sz w:val="24"/>
          <w:szCs w:val="24"/>
        </w:rPr>
        <w:t>‘</w:t>
      </w:r>
      <w:r>
        <w:rPr>
          <w:sz w:val="24"/>
          <w:szCs w:val="24"/>
        </w:rPr>
        <w:t>latent enthusiasm and commitment</w:t>
      </w:r>
      <w:r w:rsidR="00D600F4">
        <w:rPr>
          <w:sz w:val="24"/>
          <w:szCs w:val="24"/>
        </w:rPr>
        <w:t>’</w:t>
      </w:r>
      <w:r>
        <w:rPr>
          <w:sz w:val="24"/>
          <w:szCs w:val="24"/>
        </w:rPr>
        <w:t xml:space="preserve"> to community problem solving in a way that conventional policy-community engagement techniques can</w:t>
      </w:r>
      <w:r w:rsidR="00C709EE">
        <w:rPr>
          <w:sz w:val="24"/>
          <w:szCs w:val="24"/>
        </w:rPr>
        <w:t>not</w:t>
      </w:r>
      <w:r>
        <w:rPr>
          <w:sz w:val="24"/>
          <w:szCs w:val="24"/>
        </w:rPr>
        <w:t xml:space="preserve"> achieve</w:t>
      </w:r>
      <w:r w:rsidR="008C6922">
        <w:rPr>
          <w:sz w:val="24"/>
          <w:szCs w:val="24"/>
        </w:rPr>
        <w:t xml:space="preserve">. </w:t>
      </w:r>
      <w:r w:rsidR="00C709EE">
        <w:rPr>
          <w:sz w:val="24"/>
          <w:szCs w:val="24"/>
        </w:rPr>
        <w:t xml:space="preserve"> </w:t>
      </w:r>
      <w:proofErr w:type="spellStart"/>
      <w:r w:rsidR="00C709EE">
        <w:rPr>
          <w:sz w:val="24"/>
          <w:szCs w:val="24"/>
        </w:rPr>
        <w:t>Bland’s</w:t>
      </w:r>
      <w:proofErr w:type="spellEnd"/>
      <w:r w:rsidR="00C709EE">
        <w:rPr>
          <w:sz w:val="24"/>
          <w:szCs w:val="24"/>
        </w:rPr>
        <w:t xml:space="preserve"> (2017</w:t>
      </w:r>
      <w:r w:rsidR="00D600F4">
        <w:rPr>
          <w:sz w:val="24"/>
          <w:szCs w:val="24"/>
        </w:rPr>
        <w:t xml:space="preserve">: </w:t>
      </w:r>
      <w:r w:rsidR="00C709EE">
        <w:rPr>
          <w:sz w:val="24"/>
          <w:szCs w:val="24"/>
        </w:rPr>
        <w:t>32) review of the citizen</w:t>
      </w:r>
      <w:r w:rsidR="00D600F4">
        <w:rPr>
          <w:sz w:val="24"/>
          <w:szCs w:val="24"/>
        </w:rPr>
        <w:t>s’</w:t>
      </w:r>
      <w:r w:rsidR="00C709EE">
        <w:rPr>
          <w:sz w:val="24"/>
          <w:szCs w:val="24"/>
        </w:rPr>
        <w:t xml:space="preserve"> jury found that as a result of it, </w:t>
      </w:r>
      <w:r>
        <w:rPr>
          <w:sz w:val="24"/>
          <w:szCs w:val="24"/>
        </w:rPr>
        <w:t>al</w:t>
      </w:r>
      <w:r w:rsidRPr="00ED1432">
        <w:rPr>
          <w:sz w:val="24"/>
          <w:szCs w:val="24"/>
        </w:rPr>
        <w:t xml:space="preserve">l three local services </w:t>
      </w:r>
      <w:r>
        <w:rPr>
          <w:sz w:val="24"/>
          <w:szCs w:val="24"/>
        </w:rPr>
        <w:t xml:space="preserve">– fire, police and local council - </w:t>
      </w:r>
      <w:r w:rsidRPr="00ED1432">
        <w:rPr>
          <w:sz w:val="24"/>
          <w:szCs w:val="24"/>
        </w:rPr>
        <w:t xml:space="preserve">saw a great value in process </w:t>
      </w:r>
      <w:r>
        <w:rPr>
          <w:sz w:val="24"/>
          <w:szCs w:val="24"/>
        </w:rPr>
        <w:t xml:space="preserve">as it </w:t>
      </w:r>
      <w:r w:rsidRPr="00ED1432">
        <w:rPr>
          <w:sz w:val="24"/>
          <w:szCs w:val="24"/>
        </w:rPr>
        <w:t xml:space="preserve">helped to </w:t>
      </w:r>
      <w:r w:rsidR="00D600F4">
        <w:rPr>
          <w:sz w:val="24"/>
          <w:szCs w:val="24"/>
        </w:rPr>
        <w:t>‘</w:t>
      </w:r>
      <w:r w:rsidRPr="00ED1432">
        <w:rPr>
          <w:sz w:val="24"/>
          <w:szCs w:val="24"/>
        </w:rPr>
        <w:t>unblock the stalemate, renew relationships and open dialogue with the bonfire organisers, and gave them a more nuanced understanding of the community view</w:t>
      </w:r>
      <w:r w:rsidR="00D600F4">
        <w:rPr>
          <w:sz w:val="24"/>
          <w:szCs w:val="24"/>
        </w:rPr>
        <w:t>’</w:t>
      </w:r>
      <w:r w:rsidRPr="00ED1432">
        <w:rPr>
          <w:sz w:val="24"/>
          <w:szCs w:val="24"/>
        </w:rPr>
        <w:t xml:space="preserve"> (Bland 2017</w:t>
      </w:r>
      <w:r w:rsidR="00D600F4">
        <w:rPr>
          <w:sz w:val="24"/>
          <w:szCs w:val="24"/>
        </w:rPr>
        <w:t xml:space="preserve">: </w:t>
      </w:r>
      <w:r w:rsidRPr="00ED1432">
        <w:rPr>
          <w:sz w:val="24"/>
          <w:szCs w:val="24"/>
        </w:rPr>
        <w:t>32). Many of the witnesses were said to be surprised at the quality of their interaction with the jury, and</w:t>
      </w:r>
      <w:r w:rsidR="008C6922">
        <w:rPr>
          <w:sz w:val="24"/>
          <w:szCs w:val="24"/>
        </w:rPr>
        <w:t>, Bland (2017</w:t>
      </w:r>
      <w:r w:rsidR="00D600F4">
        <w:rPr>
          <w:sz w:val="24"/>
          <w:szCs w:val="24"/>
        </w:rPr>
        <w:t xml:space="preserve">: </w:t>
      </w:r>
      <w:r w:rsidR="008C6922">
        <w:rPr>
          <w:sz w:val="24"/>
          <w:szCs w:val="24"/>
        </w:rPr>
        <w:t>32) reports, they</w:t>
      </w:r>
      <w:r w:rsidRPr="00ED1432">
        <w:rPr>
          <w:sz w:val="24"/>
          <w:szCs w:val="24"/>
        </w:rPr>
        <w:t xml:space="preserve"> felt that the </w:t>
      </w:r>
      <w:r w:rsidR="00D600F4">
        <w:rPr>
          <w:sz w:val="24"/>
          <w:szCs w:val="24"/>
        </w:rPr>
        <w:t>‘</w:t>
      </w:r>
      <w:r w:rsidRPr="00ED1432">
        <w:rPr>
          <w:sz w:val="24"/>
          <w:szCs w:val="24"/>
        </w:rPr>
        <w:t>jury listened closely, asked serious questions, and were thoughtful about what they heard</w:t>
      </w:r>
      <w:r w:rsidR="00D600F4">
        <w:rPr>
          <w:sz w:val="24"/>
          <w:szCs w:val="24"/>
        </w:rPr>
        <w:t>’</w:t>
      </w:r>
      <w:r w:rsidRPr="00ED1432">
        <w:rPr>
          <w:sz w:val="24"/>
          <w:szCs w:val="24"/>
        </w:rPr>
        <w:t xml:space="preserve"> (Bland 2017</w:t>
      </w:r>
      <w:r w:rsidR="00D600F4">
        <w:rPr>
          <w:sz w:val="24"/>
          <w:szCs w:val="24"/>
        </w:rPr>
        <w:t xml:space="preserve">: </w:t>
      </w:r>
      <w:r w:rsidRPr="00ED1432">
        <w:rPr>
          <w:sz w:val="24"/>
          <w:szCs w:val="24"/>
        </w:rPr>
        <w:t xml:space="preserve">32). </w:t>
      </w:r>
      <w:r>
        <w:rPr>
          <w:sz w:val="24"/>
          <w:szCs w:val="24"/>
        </w:rPr>
        <w:t>There was also an impact on policy and practice decisions with m</w:t>
      </w:r>
      <w:r w:rsidRPr="00ED1432">
        <w:rPr>
          <w:sz w:val="24"/>
          <w:szCs w:val="24"/>
        </w:rPr>
        <w:t xml:space="preserve">any </w:t>
      </w:r>
      <w:r w:rsidRPr="00ED1432">
        <w:rPr>
          <w:sz w:val="24"/>
          <w:szCs w:val="24"/>
        </w:rPr>
        <w:lastRenderedPageBreak/>
        <w:t xml:space="preserve">of the jury recommendations implemented, although some were deemed impractical. As a result, </w:t>
      </w:r>
      <w:r w:rsidR="00C43E26">
        <w:rPr>
          <w:sz w:val="24"/>
          <w:szCs w:val="24"/>
        </w:rPr>
        <w:t>‘</w:t>
      </w:r>
      <w:r w:rsidRPr="00ED1432">
        <w:rPr>
          <w:sz w:val="24"/>
          <w:szCs w:val="24"/>
        </w:rPr>
        <w:t>improvements were made to safety and organisation</w:t>
      </w:r>
      <w:r w:rsidR="00C43E26">
        <w:rPr>
          <w:sz w:val="24"/>
          <w:szCs w:val="24"/>
        </w:rPr>
        <w:t>.’</w:t>
      </w:r>
      <w:r w:rsidRPr="00ED1432">
        <w:rPr>
          <w:sz w:val="24"/>
          <w:szCs w:val="24"/>
        </w:rPr>
        <w:t xml:space="preserve"> However, the short timescales between the citizen jury and the bonfire event meant that the </w:t>
      </w:r>
      <w:r w:rsidR="00C43E26">
        <w:rPr>
          <w:sz w:val="24"/>
          <w:szCs w:val="24"/>
        </w:rPr>
        <w:t>‘</w:t>
      </w:r>
      <w:r w:rsidRPr="00ED1432">
        <w:rPr>
          <w:sz w:val="24"/>
          <w:szCs w:val="24"/>
        </w:rPr>
        <w:t>fire itself was no smaller, and there was damage to a streetlamp</w:t>
      </w:r>
      <w:r w:rsidR="00C43E26">
        <w:rPr>
          <w:sz w:val="24"/>
          <w:szCs w:val="24"/>
        </w:rPr>
        <w:t>’</w:t>
      </w:r>
      <w:r w:rsidRPr="00ED1432">
        <w:rPr>
          <w:sz w:val="24"/>
          <w:szCs w:val="24"/>
        </w:rPr>
        <w:t>, which led to continuing concerns about safety</w:t>
      </w:r>
      <w:r w:rsidR="008C6922">
        <w:rPr>
          <w:sz w:val="24"/>
          <w:szCs w:val="24"/>
        </w:rPr>
        <w:t xml:space="preserve"> (Bland 2017</w:t>
      </w:r>
      <w:r w:rsidR="00C43E26">
        <w:rPr>
          <w:sz w:val="24"/>
          <w:szCs w:val="24"/>
        </w:rPr>
        <w:t xml:space="preserve">: </w:t>
      </w:r>
      <w:r w:rsidR="008C6922">
        <w:rPr>
          <w:sz w:val="24"/>
          <w:szCs w:val="24"/>
        </w:rPr>
        <w:t>32)</w:t>
      </w:r>
      <w:r w:rsidRPr="00ED1432">
        <w:rPr>
          <w:sz w:val="24"/>
          <w:szCs w:val="24"/>
        </w:rPr>
        <w:t>.</w:t>
      </w:r>
      <w:r w:rsidR="00C709EE">
        <w:rPr>
          <w:sz w:val="24"/>
          <w:szCs w:val="24"/>
        </w:rPr>
        <w:t xml:space="preserve"> A lesson for future mini-publics would be to ensure that there is sufficient time to incorporate recommendations and lessons arising into policy and practice decisions. </w:t>
      </w:r>
    </w:p>
    <w:p w:rsidR="00ED1432" w:rsidRPr="00A676F7" w:rsidRDefault="00ED1432" w:rsidP="00ED1432">
      <w:pPr>
        <w:spacing w:after="0" w:line="240" w:lineRule="auto"/>
        <w:jc w:val="both"/>
        <w:rPr>
          <w:sz w:val="24"/>
          <w:szCs w:val="24"/>
        </w:rPr>
      </w:pPr>
    </w:p>
    <w:p w:rsidR="00363B59" w:rsidRDefault="00A676F7" w:rsidP="00A676F7">
      <w:pPr>
        <w:jc w:val="both"/>
        <w:rPr>
          <w:sz w:val="24"/>
          <w:szCs w:val="24"/>
        </w:rPr>
      </w:pPr>
      <w:r w:rsidRPr="00A676F7">
        <w:rPr>
          <w:sz w:val="24"/>
          <w:szCs w:val="24"/>
        </w:rPr>
        <w:t>An issue with both the Citizens’ Assemblies in health’s ability to influence stemmed from a</w:t>
      </w:r>
      <w:r w:rsidR="0005094B">
        <w:rPr>
          <w:sz w:val="24"/>
          <w:szCs w:val="24"/>
        </w:rPr>
        <w:t xml:space="preserve"> </w:t>
      </w:r>
      <w:r w:rsidRPr="00A676F7">
        <w:rPr>
          <w:sz w:val="24"/>
          <w:szCs w:val="24"/>
        </w:rPr>
        <w:t>disconnect between the NHS England Board and the participants in NHS Citizens’ Assemblies development</w:t>
      </w:r>
      <w:r w:rsidR="00674FAD">
        <w:rPr>
          <w:sz w:val="24"/>
          <w:szCs w:val="24"/>
        </w:rPr>
        <w:t xml:space="preserve"> (case nos. 45 &amp; 46)</w:t>
      </w:r>
      <w:r w:rsidR="00363B59">
        <w:rPr>
          <w:sz w:val="24"/>
          <w:szCs w:val="24"/>
        </w:rPr>
        <w:t>. Bussu (</w:t>
      </w:r>
      <w:r w:rsidR="00D579FE">
        <w:rPr>
          <w:sz w:val="24"/>
          <w:szCs w:val="24"/>
        </w:rPr>
        <w:t>forthcoming 2018</w:t>
      </w:r>
      <w:r w:rsidR="00363B59">
        <w:rPr>
          <w:sz w:val="24"/>
          <w:szCs w:val="24"/>
        </w:rPr>
        <w:t>)</w:t>
      </w:r>
      <w:r w:rsidRPr="00A676F7">
        <w:rPr>
          <w:sz w:val="24"/>
          <w:szCs w:val="24"/>
        </w:rPr>
        <w:t xml:space="preserve"> found that the public were interested in broader topics, whilst the board wanted to focus on quantifiable issues of accountability. Because of </w:t>
      </w:r>
      <w:r w:rsidR="00D579FE" w:rsidRPr="00A676F7">
        <w:rPr>
          <w:sz w:val="24"/>
          <w:szCs w:val="24"/>
        </w:rPr>
        <w:t>the</w:t>
      </w:r>
      <w:r w:rsidRPr="00A676F7">
        <w:rPr>
          <w:sz w:val="24"/>
          <w:szCs w:val="24"/>
        </w:rPr>
        <w:t xml:space="preserve"> disconnect, the board disengaged, which could have marginalised the impact that the evidence from the Citizens’ Assemblies could have on NHS policy.</w:t>
      </w:r>
      <w:r w:rsidR="00D579FE">
        <w:rPr>
          <w:sz w:val="24"/>
          <w:szCs w:val="24"/>
        </w:rPr>
        <w:t xml:space="preserve"> </w:t>
      </w:r>
    </w:p>
    <w:p w:rsidR="00A676F7" w:rsidRDefault="00A676F7" w:rsidP="00A676F7">
      <w:pPr>
        <w:jc w:val="both"/>
        <w:rPr>
          <w:sz w:val="24"/>
          <w:szCs w:val="24"/>
        </w:rPr>
      </w:pPr>
      <w:r w:rsidRPr="00A676F7">
        <w:rPr>
          <w:sz w:val="24"/>
          <w:szCs w:val="24"/>
        </w:rPr>
        <w:t xml:space="preserve">It is </w:t>
      </w:r>
      <w:r w:rsidR="00D579FE">
        <w:rPr>
          <w:sz w:val="24"/>
          <w:szCs w:val="24"/>
        </w:rPr>
        <w:t xml:space="preserve">therefore, </w:t>
      </w:r>
      <w:r w:rsidRPr="00A676F7">
        <w:rPr>
          <w:sz w:val="24"/>
          <w:szCs w:val="24"/>
        </w:rPr>
        <w:t>not possible from the cases to identif</w:t>
      </w:r>
      <w:r w:rsidR="00D579FE">
        <w:rPr>
          <w:sz w:val="24"/>
          <w:szCs w:val="24"/>
        </w:rPr>
        <w:t>y trends that suggest some mini-</w:t>
      </w:r>
      <w:r w:rsidRPr="00A676F7">
        <w:rPr>
          <w:sz w:val="24"/>
          <w:szCs w:val="24"/>
        </w:rPr>
        <w:t xml:space="preserve">publics have a more frequent and extensive impact on UK social policy and practice. </w:t>
      </w:r>
    </w:p>
    <w:p w:rsidR="00D579FE" w:rsidRPr="00A676F7" w:rsidRDefault="00D579FE" w:rsidP="00A676F7">
      <w:pPr>
        <w:jc w:val="both"/>
        <w:rPr>
          <w:sz w:val="24"/>
          <w:szCs w:val="24"/>
        </w:rPr>
      </w:pPr>
    </w:p>
    <w:p w:rsidR="00A676F7" w:rsidRPr="00363B59" w:rsidRDefault="00A676F7" w:rsidP="00A676F7">
      <w:pPr>
        <w:numPr>
          <w:ilvl w:val="0"/>
          <w:numId w:val="14"/>
        </w:numPr>
        <w:jc w:val="both"/>
        <w:rPr>
          <w:b/>
          <w:i/>
          <w:color w:val="0B5484" w:themeColor="accent1" w:themeShade="80"/>
          <w:sz w:val="24"/>
          <w:szCs w:val="24"/>
          <w:lang w:val="it-IT"/>
        </w:rPr>
      </w:pPr>
      <w:r w:rsidRPr="00363B59">
        <w:rPr>
          <w:b/>
          <w:i/>
          <w:color w:val="0B5484" w:themeColor="accent1" w:themeShade="80"/>
          <w:sz w:val="24"/>
          <w:szCs w:val="24"/>
        </w:rPr>
        <w:t xml:space="preserve">Are there any trends across the cases in each country that suggest some </w:t>
      </w:r>
      <w:r w:rsidRPr="00363B59">
        <w:rPr>
          <w:b/>
          <w:i/>
          <w:color w:val="0B5484" w:themeColor="accent1" w:themeShade="80"/>
          <w:sz w:val="24"/>
          <w:szCs w:val="24"/>
          <w:lang w:val="it-IT"/>
        </w:rPr>
        <w:t>types of expert, methods of expert recruitment, and the methods of presentation of evidence influences citizens’ engagement with evidence in mini-publics?</w:t>
      </w:r>
    </w:p>
    <w:p w:rsidR="00A676F7" w:rsidRPr="00A676F7" w:rsidRDefault="00A676F7" w:rsidP="00A676F7">
      <w:pPr>
        <w:jc w:val="both"/>
        <w:rPr>
          <w:sz w:val="24"/>
          <w:szCs w:val="24"/>
          <w:lang w:val="it-IT"/>
        </w:rPr>
      </w:pPr>
      <w:r w:rsidRPr="00A676F7">
        <w:rPr>
          <w:sz w:val="24"/>
          <w:szCs w:val="24"/>
          <w:lang w:val="it-IT"/>
        </w:rPr>
        <w:t>The citizens</w:t>
      </w:r>
      <w:r w:rsidR="001E52C9">
        <w:rPr>
          <w:sz w:val="24"/>
          <w:szCs w:val="24"/>
          <w:lang w:val="it-IT"/>
        </w:rPr>
        <w:t>’</w:t>
      </w:r>
      <w:r w:rsidRPr="00A676F7">
        <w:rPr>
          <w:sz w:val="24"/>
          <w:szCs w:val="24"/>
          <w:lang w:val="it-IT"/>
        </w:rPr>
        <w:t xml:space="preserve"> jury on Nanotechnology – NanoJury UK - was analysed to understand how the presentation of evidence influenced </w:t>
      </w:r>
      <w:r w:rsidR="001E52C9">
        <w:rPr>
          <w:sz w:val="24"/>
          <w:szCs w:val="24"/>
          <w:lang w:val="it-IT"/>
        </w:rPr>
        <w:t>the participants</w:t>
      </w:r>
      <w:r w:rsidRPr="00A676F7">
        <w:rPr>
          <w:sz w:val="24"/>
          <w:szCs w:val="24"/>
          <w:lang w:val="it-IT"/>
        </w:rPr>
        <w:t xml:space="preserve"> engagement with evidence</w:t>
      </w:r>
      <w:r w:rsidR="00A965E4">
        <w:rPr>
          <w:sz w:val="24"/>
          <w:szCs w:val="24"/>
          <w:lang w:val="it-IT"/>
        </w:rPr>
        <w:t xml:space="preserve"> </w:t>
      </w:r>
      <w:r w:rsidR="00A965E4">
        <w:rPr>
          <w:sz w:val="24"/>
          <w:szCs w:val="24"/>
        </w:rPr>
        <w:t>(case no.49)</w:t>
      </w:r>
      <w:r w:rsidR="00A965E4" w:rsidRPr="00A676F7">
        <w:rPr>
          <w:sz w:val="24"/>
          <w:szCs w:val="24"/>
        </w:rPr>
        <w:t>.</w:t>
      </w:r>
      <w:r w:rsidRPr="00A676F7">
        <w:rPr>
          <w:sz w:val="24"/>
          <w:szCs w:val="24"/>
          <w:lang w:val="it-IT"/>
        </w:rPr>
        <w:t xml:space="preserve"> NanoJury UK encompassed a broad span of perspectives, including from nanoscientist, businesses, and civil society groups, some of which were supportive, and others critical of nanotechnology. The recruitment of these was overseen by an oversight panel, who explicity recruited witnesses that would provide participants with a rangee of views</w:t>
      </w:r>
      <w:r w:rsidR="00E24CC1">
        <w:rPr>
          <w:sz w:val="24"/>
          <w:szCs w:val="24"/>
          <w:lang w:val="it-IT"/>
        </w:rPr>
        <w:t>.</w:t>
      </w:r>
      <w:r w:rsidRPr="00A676F7">
        <w:rPr>
          <w:sz w:val="24"/>
          <w:szCs w:val="24"/>
          <w:vertAlign w:val="superscript"/>
          <w:lang w:val="it-IT"/>
        </w:rPr>
        <w:footnoteReference w:id="1"/>
      </w:r>
      <w:r w:rsidRPr="00A676F7">
        <w:rPr>
          <w:sz w:val="24"/>
          <w:szCs w:val="24"/>
          <w:lang w:val="it-IT"/>
        </w:rPr>
        <w:t xml:space="preserve">The involvement of civil society actors and academics, also helped ensure that there was a broader framing of the issues, than </w:t>
      </w:r>
      <w:r w:rsidR="00E24CC1">
        <w:rPr>
          <w:sz w:val="24"/>
          <w:szCs w:val="24"/>
          <w:lang w:val="it-IT"/>
        </w:rPr>
        <w:t>just focussing on ‘the science’</w:t>
      </w:r>
      <w:r w:rsidRPr="00A676F7">
        <w:rPr>
          <w:sz w:val="24"/>
          <w:szCs w:val="24"/>
          <w:lang w:val="it-IT"/>
        </w:rPr>
        <w:t xml:space="preserve"> (Rogers-Hayden &amp; Pidgeon 2006</w:t>
      </w:r>
      <w:r w:rsidR="00E24CC1">
        <w:rPr>
          <w:sz w:val="24"/>
          <w:szCs w:val="24"/>
          <w:lang w:val="it-IT"/>
        </w:rPr>
        <w:t xml:space="preserve">: </w:t>
      </w:r>
      <w:r w:rsidRPr="00A676F7">
        <w:rPr>
          <w:sz w:val="24"/>
          <w:szCs w:val="24"/>
          <w:lang w:val="it-IT"/>
        </w:rPr>
        <w:t xml:space="preserve">175). The facilitators </w:t>
      </w:r>
      <w:r w:rsidR="001E52C9">
        <w:rPr>
          <w:sz w:val="24"/>
          <w:szCs w:val="24"/>
          <w:lang w:val="it-IT"/>
        </w:rPr>
        <w:t>further</w:t>
      </w:r>
      <w:r w:rsidRPr="00A676F7">
        <w:rPr>
          <w:sz w:val="24"/>
          <w:szCs w:val="24"/>
          <w:lang w:val="it-IT"/>
        </w:rPr>
        <w:t xml:space="preserve"> helped open up the discsusion to a wide rage of questions, including political, religious, and social dimensions, enabling the jurors to freely create recommendations. </w:t>
      </w:r>
    </w:p>
    <w:p w:rsidR="00A676F7" w:rsidRDefault="00A676F7" w:rsidP="00A676F7">
      <w:pPr>
        <w:jc w:val="both"/>
        <w:rPr>
          <w:sz w:val="24"/>
          <w:szCs w:val="24"/>
        </w:rPr>
      </w:pPr>
      <w:r w:rsidRPr="00A676F7">
        <w:rPr>
          <w:sz w:val="24"/>
          <w:szCs w:val="24"/>
        </w:rPr>
        <w:t>The citizens</w:t>
      </w:r>
      <w:r w:rsidR="00E24CC1">
        <w:rPr>
          <w:sz w:val="24"/>
          <w:szCs w:val="24"/>
        </w:rPr>
        <w:t>’</w:t>
      </w:r>
      <w:r w:rsidRPr="00A676F7">
        <w:rPr>
          <w:sz w:val="24"/>
          <w:szCs w:val="24"/>
        </w:rPr>
        <w:t xml:space="preserve"> jury on genetic testing explicitly structured evidence presentation to shape the discussion</w:t>
      </w:r>
      <w:r w:rsidR="00A965E4">
        <w:rPr>
          <w:sz w:val="24"/>
          <w:szCs w:val="24"/>
        </w:rPr>
        <w:t xml:space="preserve"> (case no.48)</w:t>
      </w:r>
      <w:r w:rsidR="00A965E4" w:rsidRPr="00A676F7">
        <w:rPr>
          <w:sz w:val="24"/>
          <w:szCs w:val="24"/>
        </w:rPr>
        <w:t>.</w:t>
      </w:r>
      <w:r w:rsidR="00E24CC1">
        <w:rPr>
          <w:sz w:val="24"/>
          <w:szCs w:val="24"/>
        </w:rPr>
        <w:t xml:space="preserve"> During the mini-</w:t>
      </w:r>
      <w:r w:rsidRPr="00A676F7">
        <w:rPr>
          <w:sz w:val="24"/>
          <w:szCs w:val="24"/>
        </w:rPr>
        <w:t>public there were 10 principal sessions, each beginning with a presentation from one or two speakers, followed by a question and answer session, and then small group discussions. T</w:t>
      </w:r>
      <w:r w:rsidR="001E52C9">
        <w:rPr>
          <w:sz w:val="24"/>
          <w:szCs w:val="24"/>
        </w:rPr>
        <w:t>he organisers’ intentions were ‘</w:t>
      </w:r>
      <w:r w:rsidRPr="00A676F7">
        <w:rPr>
          <w:sz w:val="24"/>
          <w:szCs w:val="24"/>
        </w:rPr>
        <w:t>to begin with factual presentations on genetics and current service organization,</w:t>
      </w:r>
      <w:r w:rsidR="005A5D6A">
        <w:rPr>
          <w:sz w:val="24"/>
          <w:szCs w:val="24"/>
        </w:rPr>
        <w:t xml:space="preserve"> and then to move, via patients, professionals,</w:t>
      </w:r>
      <w:r w:rsidRPr="00A676F7">
        <w:rPr>
          <w:sz w:val="24"/>
          <w:szCs w:val="24"/>
        </w:rPr>
        <w:t xml:space="preserve"> commercial</w:t>
      </w:r>
      <w:r w:rsidR="005A5D6A">
        <w:rPr>
          <w:sz w:val="24"/>
          <w:szCs w:val="24"/>
        </w:rPr>
        <w:t>,</w:t>
      </w:r>
      <w:r w:rsidRPr="00A676F7">
        <w:rPr>
          <w:sz w:val="24"/>
          <w:szCs w:val="24"/>
        </w:rPr>
        <w:t xml:space="preserve"> and other perspectives, toward a synthesis of views at the end</w:t>
      </w:r>
      <w:r w:rsidR="005A5D6A">
        <w:rPr>
          <w:sz w:val="24"/>
          <w:szCs w:val="24"/>
        </w:rPr>
        <w:t>’</w:t>
      </w:r>
      <w:r w:rsidR="00E24CC1">
        <w:rPr>
          <w:sz w:val="24"/>
          <w:szCs w:val="24"/>
        </w:rPr>
        <w:t xml:space="preserve"> (Longley 2006:</w:t>
      </w:r>
      <w:r w:rsidRPr="00A676F7">
        <w:rPr>
          <w:sz w:val="24"/>
          <w:szCs w:val="24"/>
        </w:rPr>
        <w:t xml:space="preserve"> 3).</w:t>
      </w:r>
      <w:r w:rsidR="00E24CC1">
        <w:rPr>
          <w:sz w:val="24"/>
          <w:szCs w:val="24"/>
        </w:rPr>
        <w:t xml:space="preserve"> </w:t>
      </w:r>
      <w:r w:rsidRPr="00A676F7">
        <w:rPr>
          <w:sz w:val="24"/>
          <w:szCs w:val="24"/>
        </w:rPr>
        <w:t>Th</w:t>
      </w:r>
      <w:r w:rsidR="00E24CC1">
        <w:rPr>
          <w:sz w:val="24"/>
          <w:szCs w:val="24"/>
        </w:rPr>
        <w:t>is</w:t>
      </w:r>
      <w:r w:rsidRPr="00A676F7">
        <w:rPr>
          <w:sz w:val="24"/>
          <w:szCs w:val="24"/>
        </w:rPr>
        <w:t xml:space="preserve"> citizens</w:t>
      </w:r>
      <w:r w:rsidR="00E24CC1">
        <w:rPr>
          <w:sz w:val="24"/>
          <w:szCs w:val="24"/>
        </w:rPr>
        <w:t xml:space="preserve">’ jury </w:t>
      </w:r>
      <w:r w:rsidRPr="00A676F7">
        <w:rPr>
          <w:sz w:val="24"/>
          <w:szCs w:val="24"/>
        </w:rPr>
        <w:t xml:space="preserve">did encounter logistical </w:t>
      </w:r>
      <w:r w:rsidR="009D0519" w:rsidRPr="00A676F7">
        <w:rPr>
          <w:sz w:val="24"/>
          <w:szCs w:val="24"/>
        </w:rPr>
        <w:t>issues, which</w:t>
      </w:r>
      <w:r w:rsidRPr="00A676F7">
        <w:rPr>
          <w:sz w:val="24"/>
          <w:szCs w:val="24"/>
        </w:rPr>
        <w:t xml:space="preserve"> impacted on citizens’ engagement with the evidence. The original order of expert sessions had to be modified to accommodate the availability of witnesses. In addition, on the third day, there was an opportunity for the jurors to call on unplanned witnesses. The jurors were keen to hear a religious perspective, however, in the time available, it was</w:t>
      </w:r>
      <w:r w:rsidR="00E24CC1">
        <w:rPr>
          <w:sz w:val="24"/>
          <w:szCs w:val="24"/>
        </w:rPr>
        <w:t xml:space="preserve"> </w:t>
      </w:r>
      <w:r w:rsidRPr="00A676F7">
        <w:rPr>
          <w:sz w:val="24"/>
          <w:szCs w:val="24"/>
        </w:rPr>
        <w:t>n</w:t>
      </w:r>
      <w:r w:rsidR="00E24CC1">
        <w:rPr>
          <w:sz w:val="24"/>
          <w:szCs w:val="24"/>
        </w:rPr>
        <w:t>o</w:t>
      </w:r>
      <w:r w:rsidRPr="00A676F7">
        <w:rPr>
          <w:sz w:val="24"/>
          <w:szCs w:val="24"/>
        </w:rPr>
        <w:t xml:space="preserve">t </w:t>
      </w:r>
      <w:r w:rsidR="00E24CC1">
        <w:rPr>
          <w:sz w:val="24"/>
          <w:szCs w:val="24"/>
        </w:rPr>
        <w:t xml:space="preserve">possible </w:t>
      </w:r>
      <w:r w:rsidRPr="00A676F7">
        <w:rPr>
          <w:sz w:val="24"/>
          <w:szCs w:val="24"/>
        </w:rPr>
        <w:t xml:space="preserve">to find an expert to fulfil the brief (Longley 2006). </w:t>
      </w:r>
    </w:p>
    <w:p w:rsidR="005F7A33" w:rsidRDefault="0003726F" w:rsidP="005F7A33">
      <w:pPr>
        <w:jc w:val="both"/>
        <w:rPr>
          <w:sz w:val="24"/>
          <w:szCs w:val="24"/>
        </w:rPr>
      </w:pPr>
      <w:r>
        <w:rPr>
          <w:sz w:val="24"/>
          <w:szCs w:val="24"/>
        </w:rPr>
        <w:t xml:space="preserve">In 2017, </w:t>
      </w:r>
      <w:r w:rsidRPr="009425E5">
        <w:rPr>
          <w:sz w:val="24"/>
          <w:szCs w:val="24"/>
        </w:rPr>
        <w:t xml:space="preserve">Connected Health Cities commissioned citizens’ juries to find out what </w:t>
      </w:r>
      <w:r>
        <w:rPr>
          <w:sz w:val="24"/>
          <w:szCs w:val="24"/>
        </w:rPr>
        <w:t xml:space="preserve">the public </w:t>
      </w:r>
      <w:r w:rsidRPr="009425E5">
        <w:rPr>
          <w:sz w:val="24"/>
          <w:szCs w:val="24"/>
        </w:rPr>
        <w:t>thought about their planned use of health data</w:t>
      </w:r>
      <w:r w:rsidR="00A965E4">
        <w:rPr>
          <w:sz w:val="24"/>
          <w:szCs w:val="24"/>
        </w:rPr>
        <w:t xml:space="preserve"> (case no.44)</w:t>
      </w:r>
      <w:r w:rsidR="00A965E4" w:rsidRPr="00A676F7">
        <w:rPr>
          <w:sz w:val="24"/>
          <w:szCs w:val="24"/>
        </w:rPr>
        <w:t>.</w:t>
      </w:r>
      <w:r w:rsidRPr="009425E5">
        <w:rPr>
          <w:sz w:val="24"/>
          <w:szCs w:val="24"/>
        </w:rPr>
        <w:t xml:space="preserve"> </w:t>
      </w:r>
      <w:r>
        <w:rPr>
          <w:sz w:val="24"/>
          <w:szCs w:val="24"/>
        </w:rPr>
        <w:t>Citizens’ juries were selected as the method of</w:t>
      </w:r>
      <w:r w:rsidRPr="009425E5">
        <w:rPr>
          <w:sz w:val="24"/>
          <w:szCs w:val="24"/>
        </w:rPr>
        <w:t xml:space="preserve"> public engagement as it enabled jury members to ask questions and deliberate a range of evidence presented to them.</w:t>
      </w:r>
      <w:r w:rsidR="005263FF">
        <w:rPr>
          <w:sz w:val="24"/>
          <w:szCs w:val="24"/>
        </w:rPr>
        <w:t xml:space="preserve"> Connected Health Cities stated that </w:t>
      </w:r>
      <w:r w:rsidR="00C43E26">
        <w:rPr>
          <w:sz w:val="24"/>
          <w:szCs w:val="24"/>
        </w:rPr>
        <w:t>‘</w:t>
      </w:r>
      <w:r w:rsidR="005263FF">
        <w:rPr>
          <w:sz w:val="24"/>
          <w:szCs w:val="24"/>
        </w:rPr>
        <w:t>t</w:t>
      </w:r>
      <w:r w:rsidR="005263FF" w:rsidRPr="005263FF">
        <w:rPr>
          <w:sz w:val="24"/>
          <w:szCs w:val="24"/>
        </w:rPr>
        <w:t xml:space="preserve">he citizens’ jury method was </w:t>
      </w:r>
      <w:r w:rsidR="005263FF" w:rsidRPr="005263FF">
        <w:rPr>
          <w:sz w:val="24"/>
          <w:szCs w:val="24"/>
        </w:rPr>
        <w:lastRenderedPageBreak/>
        <w:t>chosen because it gives time for</w:t>
      </w:r>
      <w:r w:rsidR="005263FF">
        <w:rPr>
          <w:sz w:val="24"/>
          <w:szCs w:val="24"/>
        </w:rPr>
        <w:t xml:space="preserve"> </w:t>
      </w:r>
      <w:r w:rsidR="005263FF" w:rsidRPr="005263FF">
        <w:rPr>
          <w:sz w:val="24"/>
          <w:szCs w:val="24"/>
        </w:rPr>
        <w:t>a broadly representative sample of citizens to learn about, and deliberate on, whether CHC’s plans</w:t>
      </w:r>
      <w:r w:rsidR="005263FF">
        <w:rPr>
          <w:sz w:val="24"/>
          <w:szCs w:val="24"/>
        </w:rPr>
        <w:t xml:space="preserve"> </w:t>
      </w:r>
      <w:r w:rsidR="005263FF" w:rsidRPr="005263FF">
        <w:rPr>
          <w:sz w:val="24"/>
          <w:szCs w:val="24"/>
        </w:rPr>
        <w:t>are acceptable</w:t>
      </w:r>
      <w:r w:rsidR="00C43E26">
        <w:rPr>
          <w:sz w:val="24"/>
          <w:szCs w:val="24"/>
        </w:rPr>
        <w:t xml:space="preserve">’ </w:t>
      </w:r>
      <w:r w:rsidR="005263FF">
        <w:rPr>
          <w:sz w:val="24"/>
          <w:szCs w:val="24"/>
        </w:rPr>
        <w:t>(Connected Health Cities</w:t>
      </w:r>
      <w:r w:rsidR="008C6922">
        <w:rPr>
          <w:sz w:val="24"/>
          <w:szCs w:val="24"/>
        </w:rPr>
        <w:t xml:space="preserve"> 2017</w:t>
      </w:r>
      <w:r w:rsidR="00C43E26">
        <w:rPr>
          <w:sz w:val="24"/>
          <w:szCs w:val="24"/>
        </w:rPr>
        <w:t xml:space="preserve">: </w:t>
      </w:r>
      <w:r w:rsidR="005263FF">
        <w:rPr>
          <w:sz w:val="24"/>
          <w:szCs w:val="24"/>
        </w:rPr>
        <w:t>3).</w:t>
      </w:r>
      <w:r w:rsidRPr="009425E5">
        <w:rPr>
          <w:sz w:val="24"/>
          <w:szCs w:val="24"/>
        </w:rPr>
        <w:t xml:space="preserve">  </w:t>
      </w:r>
      <w:r w:rsidR="00C24CE8">
        <w:rPr>
          <w:sz w:val="24"/>
          <w:szCs w:val="24"/>
        </w:rPr>
        <w:t>In terms of how the evidence influenced the jurors, a</w:t>
      </w:r>
      <w:r>
        <w:rPr>
          <w:sz w:val="24"/>
          <w:szCs w:val="24"/>
        </w:rPr>
        <w:t xml:space="preserve"> review </w:t>
      </w:r>
      <w:r w:rsidR="00C24CE8">
        <w:rPr>
          <w:sz w:val="24"/>
          <w:szCs w:val="24"/>
        </w:rPr>
        <w:t>by Connected Health Cities (2017</w:t>
      </w:r>
      <w:r w:rsidR="00C43E26">
        <w:rPr>
          <w:sz w:val="24"/>
          <w:szCs w:val="24"/>
        </w:rPr>
        <w:t xml:space="preserve">: </w:t>
      </w:r>
      <w:r w:rsidR="00C24CE8">
        <w:rPr>
          <w:sz w:val="24"/>
          <w:szCs w:val="24"/>
        </w:rPr>
        <w:t xml:space="preserve">2) </w:t>
      </w:r>
      <w:r>
        <w:rPr>
          <w:sz w:val="24"/>
          <w:szCs w:val="24"/>
        </w:rPr>
        <w:t xml:space="preserve">found that </w:t>
      </w:r>
      <w:r w:rsidR="00C43E26">
        <w:rPr>
          <w:sz w:val="24"/>
          <w:szCs w:val="24"/>
        </w:rPr>
        <w:t>‘</w:t>
      </w:r>
      <w:r w:rsidRPr="009425E5">
        <w:rPr>
          <w:sz w:val="24"/>
          <w:szCs w:val="24"/>
        </w:rPr>
        <w:t xml:space="preserve">the majority of people were supportive about </w:t>
      </w:r>
      <w:r>
        <w:rPr>
          <w:sz w:val="24"/>
          <w:szCs w:val="24"/>
        </w:rPr>
        <w:t>[Connected Health Cities’]</w:t>
      </w:r>
      <w:r w:rsidRPr="009425E5">
        <w:rPr>
          <w:sz w:val="24"/>
          <w:szCs w:val="24"/>
        </w:rPr>
        <w:t xml:space="preserve"> plans, others felt they had legitimate reasons to be concerned about whether there would be public benefit from those uses. In particular, their prior beliefs about how and why the NHS operates raised concerns about whether improving efficiency would lead to inequitable distribution or closure of services and whether the lack of funding or political will to implement new services would lead to increased public dissatisfaction due to expectations having been falsely raised</w:t>
      </w:r>
      <w:r w:rsidR="00C43E26">
        <w:rPr>
          <w:sz w:val="24"/>
          <w:szCs w:val="24"/>
        </w:rPr>
        <w:t>’</w:t>
      </w:r>
      <w:r>
        <w:rPr>
          <w:sz w:val="24"/>
          <w:szCs w:val="24"/>
        </w:rPr>
        <w:t xml:space="preserve"> (Connected Health Cities 2017</w:t>
      </w:r>
      <w:r w:rsidR="00C43E26">
        <w:rPr>
          <w:sz w:val="24"/>
          <w:szCs w:val="24"/>
        </w:rPr>
        <w:t xml:space="preserve">: </w:t>
      </w:r>
      <w:r>
        <w:rPr>
          <w:sz w:val="24"/>
          <w:szCs w:val="24"/>
        </w:rPr>
        <w:t>2).</w:t>
      </w:r>
      <w:r w:rsidR="005F7A33">
        <w:rPr>
          <w:sz w:val="24"/>
          <w:szCs w:val="24"/>
        </w:rPr>
        <w:t xml:space="preserve"> </w:t>
      </w:r>
      <w:r>
        <w:rPr>
          <w:sz w:val="24"/>
          <w:szCs w:val="24"/>
        </w:rPr>
        <w:t xml:space="preserve"> </w:t>
      </w:r>
      <w:r w:rsidR="005F7A33">
        <w:rPr>
          <w:sz w:val="24"/>
          <w:szCs w:val="24"/>
        </w:rPr>
        <w:t>Connected Health Cities (CHC) analysed how the organisational features of the citizen</w:t>
      </w:r>
      <w:r w:rsidR="00C43E26">
        <w:rPr>
          <w:sz w:val="24"/>
          <w:szCs w:val="24"/>
        </w:rPr>
        <w:t>s’</w:t>
      </w:r>
      <w:r w:rsidR="005F7A33">
        <w:rPr>
          <w:sz w:val="24"/>
          <w:szCs w:val="24"/>
        </w:rPr>
        <w:t xml:space="preserve"> jury could introduce bias and influence the </w:t>
      </w:r>
      <w:r w:rsidR="00C43E26">
        <w:rPr>
          <w:sz w:val="24"/>
          <w:szCs w:val="24"/>
        </w:rPr>
        <w:t>participants’</w:t>
      </w:r>
      <w:r w:rsidR="005F7A33">
        <w:rPr>
          <w:sz w:val="24"/>
          <w:szCs w:val="24"/>
        </w:rPr>
        <w:t xml:space="preserve"> engagement with evidence. To monitor and minimise bias, an oversight panel was appointed to review the jury design and </w:t>
      </w:r>
      <w:r w:rsidR="00D9012C">
        <w:rPr>
          <w:sz w:val="24"/>
          <w:szCs w:val="24"/>
        </w:rPr>
        <w:t>materials and</w:t>
      </w:r>
      <w:r w:rsidR="005F7A33">
        <w:rPr>
          <w:sz w:val="24"/>
          <w:szCs w:val="24"/>
        </w:rPr>
        <w:t xml:space="preserve"> report potential bias. As well as trying to minimise bias through design, there was also attempts to identify bias during the mini-public itself. As part of this, a questionnaire was administered at the end of the jury to ask about bias, which revealed that witnesses on days 2 and 3 of the York jury were either </w:t>
      </w:r>
      <w:r w:rsidR="00C43E26">
        <w:rPr>
          <w:sz w:val="24"/>
          <w:szCs w:val="24"/>
        </w:rPr>
        <w:t>‘</w:t>
      </w:r>
      <w:r w:rsidR="005F7A33">
        <w:rPr>
          <w:sz w:val="24"/>
          <w:szCs w:val="24"/>
        </w:rPr>
        <w:t>perhaps occasionally</w:t>
      </w:r>
      <w:r w:rsidR="00C43E26">
        <w:rPr>
          <w:sz w:val="24"/>
          <w:szCs w:val="24"/>
        </w:rPr>
        <w:t>’</w:t>
      </w:r>
      <w:r w:rsidR="005F7A33">
        <w:rPr>
          <w:sz w:val="24"/>
          <w:szCs w:val="24"/>
        </w:rPr>
        <w:t xml:space="preserve"> or </w:t>
      </w:r>
      <w:r w:rsidR="00C43E26">
        <w:rPr>
          <w:sz w:val="24"/>
          <w:szCs w:val="24"/>
        </w:rPr>
        <w:t>‘</w:t>
      </w:r>
      <w:r w:rsidR="005F7A33">
        <w:rPr>
          <w:sz w:val="24"/>
          <w:szCs w:val="24"/>
        </w:rPr>
        <w:t>sometimes</w:t>
      </w:r>
      <w:r w:rsidR="00C43E26">
        <w:rPr>
          <w:sz w:val="24"/>
          <w:szCs w:val="24"/>
        </w:rPr>
        <w:t>’</w:t>
      </w:r>
      <w:r w:rsidR="005F7A33">
        <w:rPr>
          <w:sz w:val="24"/>
          <w:szCs w:val="24"/>
        </w:rPr>
        <w:t xml:space="preserve"> biased in favour of sharing health information. Other attempts to minimise the influence on citizens included ensuring CHC jury funders could help set jury questions but were not involved in the jury process or outcomes; and using facilitators to help citizens construct their own interpretation of findings (Connected Health Cities 2017). </w:t>
      </w:r>
      <w:r w:rsidR="00D9012C">
        <w:rPr>
          <w:sz w:val="24"/>
          <w:szCs w:val="24"/>
        </w:rPr>
        <w:t>Unfortunately,</w:t>
      </w:r>
      <w:r w:rsidR="005F7A33">
        <w:rPr>
          <w:sz w:val="24"/>
          <w:szCs w:val="24"/>
        </w:rPr>
        <w:t xml:space="preserve"> it is not clear what element of the witness’ background, presentation, or discussion on days 2 and 3 introduced the sense of bias to influence the citizens’ interpretation of the evidence. </w:t>
      </w:r>
    </w:p>
    <w:p w:rsidR="009152EA" w:rsidRDefault="009152EA" w:rsidP="009152EA">
      <w:pPr>
        <w:jc w:val="both"/>
        <w:rPr>
          <w:sz w:val="24"/>
          <w:szCs w:val="24"/>
        </w:rPr>
      </w:pPr>
      <w:r w:rsidRPr="00F668FD">
        <w:rPr>
          <w:sz w:val="24"/>
          <w:szCs w:val="24"/>
        </w:rPr>
        <w:t xml:space="preserve">On day four – the final day of the </w:t>
      </w:r>
      <w:r>
        <w:rPr>
          <w:sz w:val="24"/>
          <w:szCs w:val="24"/>
        </w:rPr>
        <w:t xml:space="preserve">CHC </w:t>
      </w:r>
      <w:r w:rsidRPr="00F668FD">
        <w:rPr>
          <w:sz w:val="24"/>
          <w:szCs w:val="24"/>
        </w:rPr>
        <w:t xml:space="preserve">citizen jury, </w:t>
      </w:r>
      <w:r>
        <w:rPr>
          <w:sz w:val="24"/>
          <w:szCs w:val="24"/>
        </w:rPr>
        <w:t xml:space="preserve">both the </w:t>
      </w:r>
      <w:r w:rsidRPr="00F668FD">
        <w:rPr>
          <w:sz w:val="24"/>
          <w:szCs w:val="24"/>
        </w:rPr>
        <w:t xml:space="preserve">juries in Manchester and York voted on the jury questions, and suggested reasons for and against the options being considered. The facilitator of the juries then constructed a juries’ report with the voting data and ranked the reasons. The citizens were then led through the report, page by page, to </w:t>
      </w:r>
      <w:r w:rsidR="00C43E26">
        <w:rPr>
          <w:sz w:val="24"/>
          <w:szCs w:val="24"/>
        </w:rPr>
        <w:t>‘</w:t>
      </w:r>
      <w:r w:rsidRPr="00F668FD">
        <w:rPr>
          <w:sz w:val="24"/>
          <w:szCs w:val="24"/>
        </w:rPr>
        <w:t>gain the jurors’ acceptance that it fairly represented their views.</w:t>
      </w:r>
      <w:r w:rsidR="00C43E26">
        <w:rPr>
          <w:sz w:val="24"/>
          <w:szCs w:val="24"/>
        </w:rPr>
        <w:t>’</w:t>
      </w:r>
      <w:r w:rsidRPr="00F668FD">
        <w:rPr>
          <w:sz w:val="24"/>
          <w:szCs w:val="24"/>
        </w:rPr>
        <w:t xml:space="preserve"> In addition, the reports were sent to </w:t>
      </w:r>
      <w:r w:rsidR="00C43E26">
        <w:rPr>
          <w:sz w:val="24"/>
          <w:szCs w:val="24"/>
        </w:rPr>
        <w:t>the participants</w:t>
      </w:r>
      <w:r w:rsidRPr="00F668FD">
        <w:rPr>
          <w:sz w:val="24"/>
          <w:szCs w:val="24"/>
        </w:rPr>
        <w:t xml:space="preserve"> af</w:t>
      </w:r>
      <w:r w:rsidR="00C709EE">
        <w:rPr>
          <w:sz w:val="24"/>
          <w:szCs w:val="24"/>
        </w:rPr>
        <w:t>ter the event</w:t>
      </w:r>
      <w:r w:rsidRPr="00F668FD">
        <w:rPr>
          <w:sz w:val="24"/>
          <w:szCs w:val="24"/>
        </w:rPr>
        <w:t xml:space="preserve"> so that any final changes could be suggested and made before the reports were published. Unfortunately, it is not clear if </w:t>
      </w:r>
      <w:r w:rsidR="00C709EE" w:rsidRPr="00F668FD">
        <w:rPr>
          <w:sz w:val="24"/>
          <w:szCs w:val="24"/>
        </w:rPr>
        <w:t>the jurors suggested any changes</w:t>
      </w:r>
      <w:r w:rsidRPr="00F668FD">
        <w:rPr>
          <w:sz w:val="24"/>
          <w:szCs w:val="24"/>
        </w:rPr>
        <w:t xml:space="preserve">, and if any were incorporated.  </w:t>
      </w:r>
    </w:p>
    <w:p w:rsidR="00D9012C" w:rsidRDefault="00D9012C" w:rsidP="005F7A33">
      <w:pPr>
        <w:jc w:val="both"/>
        <w:rPr>
          <w:sz w:val="24"/>
          <w:szCs w:val="24"/>
        </w:rPr>
      </w:pPr>
      <w:r>
        <w:rPr>
          <w:sz w:val="24"/>
          <w:szCs w:val="24"/>
        </w:rPr>
        <w:t>Explicitly trying to reduce bias was also a feature of the citizen jury in Scotland which focused on community bonfires</w:t>
      </w:r>
      <w:r w:rsidR="00A965E4">
        <w:rPr>
          <w:sz w:val="24"/>
          <w:szCs w:val="24"/>
        </w:rPr>
        <w:t xml:space="preserve"> (case no.47)</w:t>
      </w:r>
      <w:r w:rsidR="00A965E4" w:rsidRPr="00A676F7">
        <w:rPr>
          <w:sz w:val="24"/>
          <w:szCs w:val="24"/>
        </w:rPr>
        <w:t>.</w:t>
      </w:r>
      <w:r>
        <w:rPr>
          <w:sz w:val="24"/>
          <w:szCs w:val="24"/>
        </w:rPr>
        <w:t xml:space="preserve"> Ensuring that the jury was </w:t>
      </w:r>
      <w:r w:rsidR="00C43E26">
        <w:rPr>
          <w:sz w:val="24"/>
          <w:szCs w:val="24"/>
        </w:rPr>
        <w:t>‘</w:t>
      </w:r>
      <w:r>
        <w:rPr>
          <w:sz w:val="24"/>
          <w:szCs w:val="24"/>
        </w:rPr>
        <w:t>independent and impartia</w:t>
      </w:r>
      <w:r w:rsidR="00C43E26">
        <w:rPr>
          <w:sz w:val="24"/>
          <w:szCs w:val="24"/>
        </w:rPr>
        <w:t>l’</w:t>
      </w:r>
      <w:r>
        <w:rPr>
          <w:sz w:val="24"/>
          <w:szCs w:val="24"/>
        </w:rPr>
        <w:t xml:space="preserve"> was built into the design and conduct of mini</w:t>
      </w:r>
      <w:r w:rsidR="009152EA">
        <w:rPr>
          <w:sz w:val="24"/>
          <w:szCs w:val="24"/>
        </w:rPr>
        <w:t>-</w:t>
      </w:r>
      <w:r>
        <w:rPr>
          <w:sz w:val="24"/>
          <w:szCs w:val="24"/>
        </w:rPr>
        <w:t>public (Bland 2017</w:t>
      </w:r>
      <w:r w:rsidR="00C43E26">
        <w:rPr>
          <w:sz w:val="24"/>
          <w:szCs w:val="24"/>
        </w:rPr>
        <w:t xml:space="preserve">: </w:t>
      </w:r>
      <w:r>
        <w:rPr>
          <w:sz w:val="24"/>
          <w:szCs w:val="24"/>
        </w:rPr>
        <w:t xml:space="preserve">31). To achieve this, a ‘Stewarding </w:t>
      </w:r>
      <w:r w:rsidR="009152EA">
        <w:rPr>
          <w:sz w:val="24"/>
          <w:szCs w:val="24"/>
        </w:rPr>
        <w:t>B</w:t>
      </w:r>
      <w:r>
        <w:rPr>
          <w:sz w:val="24"/>
          <w:szCs w:val="24"/>
        </w:rPr>
        <w:t>oard</w:t>
      </w:r>
      <w:r w:rsidR="00C43E26">
        <w:rPr>
          <w:sz w:val="24"/>
          <w:szCs w:val="24"/>
        </w:rPr>
        <w:t>’</w:t>
      </w:r>
      <w:r>
        <w:rPr>
          <w:sz w:val="24"/>
          <w:szCs w:val="24"/>
        </w:rPr>
        <w:t xml:space="preserve"> was set up, chaired by the lead organiser, What Works Scotland,</w:t>
      </w:r>
      <w:r w:rsidR="00C709EE">
        <w:rPr>
          <w:sz w:val="24"/>
          <w:szCs w:val="24"/>
        </w:rPr>
        <w:t xml:space="preserve"> </w:t>
      </w:r>
      <w:r>
        <w:rPr>
          <w:sz w:val="24"/>
          <w:szCs w:val="24"/>
        </w:rPr>
        <w:t>with representatives from the local police, council, fire services, and bonfire organisers. The Stewarding Board agreed how jurors would be recruited, the selection of expert witnesses, and the activities the jury would undertake (Bland 2017</w:t>
      </w:r>
      <w:r w:rsidR="00C43E26">
        <w:rPr>
          <w:sz w:val="24"/>
          <w:szCs w:val="24"/>
        </w:rPr>
        <w:t xml:space="preserve">: </w:t>
      </w:r>
      <w:r>
        <w:rPr>
          <w:sz w:val="24"/>
          <w:szCs w:val="24"/>
        </w:rPr>
        <w:t xml:space="preserve">31). </w:t>
      </w:r>
      <w:r w:rsidR="009152EA">
        <w:rPr>
          <w:sz w:val="24"/>
          <w:szCs w:val="24"/>
        </w:rPr>
        <w:t xml:space="preserve"> </w:t>
      </w:r>
    </w:p>
    <w:p w:rsidR="009152EA" w:rsidRPr="00A861AF" w:rsidRDefault="009152EA" w:rsidP="009152EA">
      <w:pPr>
        <w:jc w:val="both"/>
        <w:rPr>
          <w:sz w:val="24"/>
          <w:szCs w:val="24"/>
        </w:rPr>
      </w:pPr>
      <w:r>
        <w:rPr>
          <w:sz w:val="24"/>
          <w:szCs w:val="24"/>
        </w:rPr>
        <w:t xml:space="preserve">At the community bonfire citizens’ jury, there were three expert witness sessions, with two speakers per session. </w:t>
      </w:r>
      <w:r w:rsidRPr="00A861AF">
        <w:rPr>
          <w:sz w:val="24"/>
          <w:szCs w:val="24"/>
        </w:rPr>
        <w:t xml:space="preserve">Each session consisted of two short presentations followed by an extended Q&amp;A discussion. The presentations were followed by a facilitated discussion. There were 6 witnesses who were all representatives from local public services (it is not clear how they were recruited).  A range of techniques were used by the facilitators to </w:t>
      </w:r>
      <w:r w:rsidR="00C43E26">
        <w:rPr>
          <w:sz w:val="24"/>
          <w:szCs w:val="24"/>
        </w:rPr>
        <w:t>‘</w:t>
      </w:r>
      <w:r w:rsidRPr="00A861AF">
        <w:rPr>
          <w:sz w:val="24"/>
          <w:szCs w:val="24"/>
        </w:rPr>
        <w:t>provide equal opportunities for jurors to take part, and to support discussion</w:t>
      </w:r>
      <w:r w:rsidR="00C43E26">
        <w:rPr>
          <w:sz w:val="24"/>
          <w:szCs w:val="24"/>
        </w:rPr>
        <w:t>’</w:t>
      </w:r>
      <w:r w:rsidRPr="00A861AF">
        <w:rPr>
          <w:sz w:val="24"/>
          <w:szCs w:val="24"/>
        </w:rPr>
        <w:t xml:space="preserve"> (Bland 2017</w:t>
      </w:r>
      <w:r w:rsidR="00C43E26">
        <w:rPr>
          <w:sz w:val="24"/>
          <w:szCs w:val="24"/>
        </w:rPr>
        <w:t xml:space="preserve">: </w:t>
      </w:r>
      <w:r w:rsidRPr="00A861AF">
        <w:rPr>
          <w:sz w:val="24"/>
          <w:szCs w:val="24"/>
        </w:rPr>
        <w:t>32)</w:t>
      </w:r>
    </w:p>
    <w:p w:rsidR="009152EA" w:rsidRDefault="009152EA" w:rsidP="005F7A33">
      <w:pPr>
        <w:jc w:val="both"/>
        <w:rPr>
          <w:sz w:val="24"/>
          <w:szCs w:val="24"/>
        </w:rPr>
      </w:pPr>
    </w:p>
    <w:p w:rsidR="00A965E4" w:rsidRDefault="00A965E4" w:rsidP="005F7A33">
      <w:pPr>
        <w:jc w:val="both"/>
        <w:rPr>
          <w:sz w:val="24"/>
          <w:szCs w:val="24"/>
        </w:rPr>
      </w:pPr>
    </w:p>
    <w:p w:rsidR="00BD3111" w:rsidRDefault="00BD3111" w:rsidP="005F7A33">
      <w:pPr>
        <w:jc w:val="both"/>
        <w:rPr>
          <w:sz w:val="24"/>
          <w:szCs w:val="24"/>
        </w:rPr>
      </w:pPr>
    </w:p>
    <w:p w:rsidR="00A965E4" w:rsidRDefault="00A965E4" w:rsidP="00A965E4">
      <w:pPr>
        <w:jc w:val="both"/>
        <w:rPr>
          <w:b/>
          <w:color w:val="0B5484" w:themeColor="accent1" w:themeShade="80"/>
          <w:sz w:val="24"/>
          <w:szCs w:val="24"/>
        </w:rPr>
      </w:pPr>
      <w:r w:rsidRPr="00C82A8C">
        <w:rPr>
          <w:b/>
          <w:bCs/>
          <w:color w:val="0B5484" w:themeColor="accent1" w:themeShade="80"/>
          <w:sz w:val="24"/>
          <w:szCs w:val="24"/>
        </w:rPr>
        <w:t xml:space="preserve">Table </w:t>
      </w:r>
      <w:r>
        <w:rPr>
          <w:b/>
          <w:bCs/>
          <w:color w:val="0B5484" w:themeColor="accent1" w:themeShade="80"/>
          <w:sz w:val="24"/>
          <w:szCs w:val="24"/>
        </w:rPr>
        <w:t xml:space="preserve">16: The </w:t>
      </w:r>
      <w:r>
        <w:rPr>
          <w:b/>
          <w:color w:val="0B5484" w:themeColor="accent1" w:themeShade="80"/>
          <w:sz w:val="24"/>
          <w:szCs w:val="24"/>
        </w:rPr>
        <w:t xml:space="preserve">United Kingdom: </w:t>
      </w:r>
      <w:r>
        <w:rPr>
          <w:b/>
          <w:bCs/>
          <w:color w:val="0B5484" w:themeColor="accent1" w:themeShade="80"/>
          <w:sz w:val="24"/>
          <w:szCs w:val="24"/>
        </w:rPr>
        <w:t>Witnesses and Evidence in</w:t>
      </w:r>
      <w:r w:rsidRPr="00C82A8C">
        <w:rPr>
          <w:b/>
          <w:bCs/>
          <w:color w:val="0B5484" w:themeColor="accent1" w:themeShade="80"/>
          <w:sz w:val="24"/>
          <w:szCs w:val="24"/>
        </w:rPr>
        <w:t xml:space="preserve"> </w:t>
      </w:r>
      <w:r>
        <w:rPr>
          <w:b/>
          <w:color w:val="0B5484" w:themeColor="accent1" w:themeShade="80"/>
          <w:sz w:val="24"/>
          <w:szCs w:val="24"/>
        </w:rPr>
        <w:t xml:space="preserve">Mini-Public </w:t>
      </w:r>
      <w:r w:rsidRPr="00C82A8C">
        <w:rPr>
          <w:b/>
          <w:color w:val="0B5484" w:themeColor="accent1" w:themeShade="80"/>
          <w:sz w:val="24"/>
          <w:szCs w:val="24"/>
        </w:rPr>
        <w:t>Cases</w:t>
      </w:r>
    </w:p>
    <w:tbl>
      <w:tblPr>
        <w:tblStyle w:val="TableGrid"/>
        <w:tblW w:w="10774" w:type="dxa"/>
        <w:tblInd w:w="-998" w:type="dxa"/>
        <w:tblLook w:val="04A0" w:firstRow="1" w:lastRow="0" w:firstColumn="1" w:lastColumn="0" w:noHBand="0" w:noVBand="1"/>
      </w:tblPr>
      <w:tblGrid>
        <w:gridCol w:w="567"/>
        <w:gridCol w:w="3134"/>
        <w:gridCol w:w="1120"/>
        <w:gridCol w:w="1616"/>
        <w:gridCol w:w="1308"/>
        <w:gridCol w:w="1104"/>
        <w:gridCol w:w="1925"/>
      </w:tblGrid>
      <w:tr w:rsidR="00A965E4" w:rsidTr="00587091">
        <w:tc>
          <w:tcPr>
            <w:tcW w:w="567" w:type="dxa"/>
          </w:tcPr>
          <w:p w:rsidR="00A965E4" w:rsidRPr="00C4576A" w:rsidRDefault="00A965E4" w:rsidP="00587091">
            <w:pPr>
              <w:rPr>
                <w:rFonts w:cstheme="minorHAnsi"/>
                <w:b/>
                <w:i/>
                <w:color w:val="0B5484" w:themeColor="accent1" w:themeShade="80"/>
                <w:sz w:val="20"/>
                <w:szCs w:val="20"/>
              </w:rPr>
            </w:pPr>
            <w:r w:rsidRPr="00C4576A">
              <w:rPr>
                <w:rFonts w:cstheme="minorHAnsi"/>
                <w:b/>
                <w:i/>
                <w:color w:val="0B5484" w:themeColor="accent1" w:themeShade="80"/>
                <w:sz w:val="20"/>
                <w:szCs w:val="20"/>
              </w:rPr>
              <w:t>No.</w:t>
            </w:r>
          </w:p>
        </w:tc>
        <w:tc>
          <w:tcPr>
            <w:tcW w:w="3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965E4" w:rsidRPr="00C4576A" w:rsidRDefault="00A965E4" w:rsidP="00587091">
            <w:pPr>
              <w:rPr>
                <w:rFonts w:cstheme="minorHAnsi"/>
                <w:b/>
                <w:bCs/>
                <w:i/>
                <w:color w:val="0B5484" w:themeColor="accent1" w:themeShade="80"/>
                <w:sz w:val="20"/>
                <w:szCs w:val="20"/>
              </w:rPr>
            </w:pPr>
            <w:r w:rsidRPr="00C4576A">
              <w:rPr>
                <w:rFonts w:cstheme="minorHAnsi"/>
                <w:b/>
                <w:bCs/>
                <w:i/>
                <w:color w:val="0B5484" w:themeColor="accent1" w:themeShade="80"/>
                <w:sz w:val="20"/>
                <w:szCs w:val="20"/>
              </w:rPr>
              <w:t>Activities</w:t>
            </w:r>
          </w:p>
        </w:tc>
        <w:tc>
          <w:tcPr>
            <w:tcW w:w="1120" w:type="dxa"/>
            <w:tcBorders>
              <w:top w:val="single" w:sz="4" w:space="0" w:color="auto"/>
              <w:left w:val="nil"/>
              <w:bottom w:val="single" w:sz="4" w:space="0" w:color="auto"/>
              <w:right w:val="single" w:sz="4" w:space="0" w:color="auto"/>
            </w:tcBorders>
            <w:shd w:val="clear" w:color="auto" w:fill="FFFFFF" w:themeFill="background1"/>
            <w:vAlign w:val="center"/>
          </w:tcPr>
          <w:p w:rsidR="00A965E4" w:rsidRPr="00C4576A" w:rsidRDefault="00A965E4" w:rsidP="00587091">
            <w:pPr>
              <w:rPr>
                <w:rFonts w:cstheme="minorHAnsi"/>
                <w:b/>
                <w:bCs/>
                <w:i/>
                <w:color w:val="0B5484" w:themeColor="accent1" w:themeShade="80"/>
                <w:sz w:val="20"/>
                <w:szCs w:val="20"/>
              </w:rPr>
            </w:pPr>
            <w:r w:rsidRPr="00C4576A">
              <w:rPr>
                <w:rFonts w:cstheme="minorHAnsi"/>
                <w:b/>
                <w:bCs/>
                <w:i/>
                <w:color w:val="0B5484" w:themeColor="accent1" w:themeShade="80"/>
                <w:sz w:val="20"/>
                <w:szCs w:val="20"/>
              </w:rPr>
              <w:t xml:space="preserve">No. </w:t>
            </w:r>
          </w:p>
          <w:p w:rsidR="00A965E4" w:rsidRPr="00C4576A" w:rsidRDefault="00A965E4" w:rsidP="00587091">
            <w:pPr>
              <w:rPr>
                <w:rFonts w:cstheme="minorHAnsi"/>
                <w:b/>
                <w:bCs/>
                <w:i/>
                <w:color w:val="0B5484" w:themeColor="accent1" w:themeShade="80"/>
                <w:sz w:val="20"/>
                <w:szCs w:val="20"/>
              </w:rPr>
            </w:pPr>
            <w:r w:rsidRPr="00C4576A">
              <w:rPr>
                <w:rFonts w:cstheme="minorHAnsi"/>
                <w:b/>
                <w:bCs/>
                <w:i/>
                <w:color w:val="0B5484" w:themeColor="accent1" w:themeShade="80"/>
                <w:sz w:val="20"/>
                <w:szCs w:val="20"/>
              </w:rPr>
              <w:t>witnesses</w:t>
            </w:r>
          </w:p>
        </w:tc>
        <w:tc>
          <w:tcPr>
            <w:tcW w:w="1616" w:type="dxa"/>
            <w:tcBorders>
              <w:top w:val="single" w:sz="4" w:space="0" w:color="auto"/>
              <w:left w:val="nil"/>
              <w:bottom w:val="single" w:sz="4" w:space="0" w:color="auto"/>
              <w:right w:val="single" w:sz="4" w:space="0" w:color="auto"/>
            </w:tcBorders>
            <w:shd w:val="clear" w:color="auto" w:fill="FFFFFF" w:themeFill="background1"/>
            <w:vAlign w:val="center"/>
          </w:tcPr>
          <w:p w:rsidR="00A965E4" w:rsidRPr="00C4576A" w:rsidRDefault="00A965E4" w:rsidP="00587091">
            <w:pPr>
              <w:rPr>
                <w:rFonts w:cstheme="minorHAnsi"/>
                <w:b/>
                <w:bCs/>
                <w:i/>
                <w:color w:val="0B5484" w:themeColor="accent1" w:themeShade="80"/>
                <w:sz w:val="20"/>
                <w:szCs w:val="20"/>
              </w:rPr>
            </w:pPr>
            <w:r w:rsidRPr="00C4576A">
              <w:rPr>
                <w:rFonts w:cstheme="minorHAnsi"/>
                <w:b/>
                <w:bCs/>
                <w:i/>
                <w:color w:val="0B5484" w:themeColor="accent1" w:themeShade="80"/>
                <w:sz w:val="20"/>
                <w:szCs w:val="20"/>
              </w:rPr>
              <w:t>Type of witnesses</w:t>
            </w:r>
          </w:p>
        </w:tc>
        <w:tc>
          <w:tcPr>
            <w:tcW w:w="1308" w:type="dxa"/>
            <w:tcBorders>
              <w:top w:val="single" w:sz="4" w:space="0" w:color="auto"/>
              <w:left w:val="nil"/>
              <w:bottom w:val="single" w:sz="4" w:space="0" w:color="auto"/>
              <w:right w:val="single" w:sz="4" w:space="0" w:color="auto"/>
            </w:tcBorders>
            <w:shd w:val="clear" w:color="auto" w:fill="FFFFFF" w:themeFill="background1"/>
            <w:vAlign w:val="center"/>
          </w:tcPr>
          <w:p w:rsidR="00A965E4" w:rsidRPr="00C4576A" w:rsidRDefault="00A965E4" w:rsidP="00587091">
            <w:pPr>
              <w:rPr>
                <w:rFonts w:cstheme="minorHAnsi"/>
                <w:b/>
                <w:bCs/>
                <w:i/>
                <w:color w:val="0B5484" w:themeColor="accent1" w:themeShade="80"/>
                <w:sz w:val="20"/>
                <w:szCs w:val="20"/>
              </w:rPr>
            </w:pPr>
            <w:r w:rsidRPr="00C4576A">
              <w:rPr>
                <w:rFonts w:cstheme="minorHAnsi"/>
                <w:b/>
                <w:bCs/>
                <w:i/>
                <w:color w:val="0B5484" w:themeColor="accent1" w:themeShade="80"/>
                <w:sz w:val="20"/>
                <w:szCs w:val="20"/>
              </w:rPr>
              <w:t>Witness recruitment method</w:t>
            </w:r>
          </w:p>
        </w:tc>
        <w:tc>
          <w:tcPr>
            <w:tcW w:w="1104" w:type="dxa"/>
            <w:tcBorders>
              <w:top w:val="single" w:sz="4" w:space="0" w:color="auto"/>
              <w:left w:val="nil"/>
              <w:bottom w:val="single" w:sz="4" w:space="0" w:color="auto"/>
              <w:right w:val="single" w:sz="4" w:space="0" w:color="auto"/>
            </w:tcBorders>
            <w:shd w:val="clear" w:color="auto" w:fill="FFFFFF" w:themeFill="background1"/>
            <w:vAlign w:val="center"/>
          </w:tcPr>
          <w:p w:rsidR="00A965E4" w:rsidRPr="00C4576A" w:rsidRDefault="00A965E4" w:rsidP="00587091">
            <w:pPr>
              <w:rPr>
                <w:rFonts w:cstheme="minorHAnsi"/>
                <w:b/>
                <w:bCs/>
                <w:i/>
                <w:color w:val="0B5484" w:themeColor="accent1" w:themeShade="80"/>
                <w:sz w:val="20"/>
                <w:szCs w:val="20"/>
              </w:rPr>
            </w:pPr>
            <w:r w:rsidRPr="00C4576A">
              <w:rPr>
                <w:rFonts w:cstheme="minorHAnsi"/>
                <w:b/>
                <w:bCs/>
                <w:i/>
                <w:color w:val="0B5484" w:themeColor="accent1" w:themeShade="80"/>
                <w:sz w:val="20"/>
                <w:szCs w:val="20"/>
              </w:rPr>
              <w:t>No. witness sessions</w:t>
            </w:r>
          </w:p>
        </w:tc>
        <w:tc>
          <w:tcPr>
            <w:tcW w:w="1925" w:type="dxa"/>
            <w:tcBorders>
              <w:top w:val="single" w:sz="4" w:space="0" w:color="auto"/>
              <w:left w:val="nil"/>
              <w:bottom w:val="single" w:sz="4" w:space="0" w:color="auto"/>
              <w:right w:val="single" w:sz="4" w:space="0" w:color="auto"/>
            </w:tcBorders>
            <w:shd w:val="clear" w:color="auto" w:fill="FFFFFF" w:themeFill="background1"/>
            <w:vAlign w:val="center"/>
          </w:tcPr>
          <w:p w:rsidR="00A965E4" w:rsidRPr="00C4576A" w:rsidRDefault="00A965E4" w:rsidP="00587091">
            <w:pPr>
              <w:rPr>
                <w:rFonts w:cstheme="minorHAnsi"/>
                <w:b/>
                <w:bCs/>
                <w:i/>
                <w:color w:val="0B5484" w:themeColor="accent1" w:themeShade="80"/>
                <w:sz w:val="20"/>
                <w:szCs w:val="20"/>
              </w:rPr>
            </w:pPr>
            <w:r w:rsidRPr="00C4576A">
              <w:rPr>
                <w:rFonts w:cstheme="minorHAnsi"/>
                <w:b/>
                <w:bCs/>
                <w:i/>
                <w:color w:val="0B5484" w:themeColor="accent1" w:themeShade="80"/>
                <w:sz w:val="20"/>
                <w:szCs w:val="20"/>
              </w:rPr>
              <w:t>Format of evidence presentation</w:t>
            </w:r>
          </w:p>
        </w:tc>
      </w:tr>
      <w:tr w:rsidR="00A965E4" w:rsidTr="00587091">
        <w:tc>
          <w:tcPr>
            <w:tcW w:w="567" w:type="dxa"/>
            <w:shd w:val="clear" w:color="auto" w:fill="ABD9F8" w:themeFill="accent1" w:themeFillTint="66"/>
            <w:vAlign w:val="center"/>
          </w:tcPr>
          <w:p w:rsidR="00A965E4" w:rsidRPr="00A55C6F" w:rsidRDefault="00A965E4" w:rsidP="00587091">
            <w:pPr>
              <w:rPr>
                <w:rFonts w:cstheme="minorHAnsi"/>
                <w:b/>
                <w:i/>
                <w:sz w:val="20"/>
                <w:szCs w:val="20"/>
              </w:rPr>
            </w:pPr>
            <w:r w:rsidRPr="00A55C6F">
              <w:rPr>
                <w:rFonts w:cstheme="minorHAnsi"/>
                <w:b/>
                <w:i/>
                <w:sz w:val="20"/>
                <w:szCs w:val="20"/>
              </w:rPr>
              <w:t>38</w:t>
            </w:r>
          </w:p>
        </w:tc>
        <w:tc>
          <w:tcPr>
            <w:tcW w:w="3134" w:type="dxa"/>
            <w:tcBorders>
              <w:top w:val="single" w:sz="4" w:space="0" w:color="auto"/>
              <w:left w:val="single" w:sz="4" w:space="0" w:color="auto"/>
              <w:bottom w:val="single" w:sz="4" w:space="0" w:color="auto"/>
              <w:right w:val="single" w:sz="4" w:space="0" w:color="auto"/>
            </w:tcBorders>
            <w:shd w:val="clear" w:color="auto" w:fill="ABD9F8" w:themeFill="accent1" w:themeFillTint="66"/>
            <w:vAlign w:val="center"/>
          </w:tcPr>
          <w:p w:rsidR="00A965E4" w:rsidRPr="0091564D" w:rsidRDefault="00A965E4" w:rsidP="00587091">
            <w:pPr>
              <w:rPr>
                <w:rFonts w:cstheme="minorHAnsi"/>
                <w:sz w:val="20"/>
                <w:szCs w:val="20"/>
              </w:rPr>
            </w:pPr>
            <w:r w:rsidRPr="0091564D">
              <w:rPr>
                <w:rFonts w:cstheme="minorHAnsi"/>
                <w:sz w:val="20"/>
                <w:szCs w:val="20"/>
              </w:rPr>
              <w:t>Small group facilitated discussion</w:t>
            </w:r>
          </w:p>
        </w:tc>
        <w:tc>
          <w:tcPr>
            <w:tcW w:w="1120" w:type="dxa"/>
            <w:tcBorders>
              <w:top w:val="single" w:sz="4" w:space="0" w:color="auto"/>
              <w:left w:val="nil"/>
              <w:bottom w:val="single" w:sz="4" w:space="0" w:color="auto"/>
              <w:right w:val="single" w:sz="4" w:space="0" w:color="auto"/>
            </w:tcBorders>
            <w:shd w:val="clear" w:color="auto" w:fill="ABD9F8" w:themeFill="accent1" w:themeFillTint="66"/>
            <w:vAlign w:val="center"/>
          </w:tcPr>
          <w:p w:rsidR="00A965E4" w:rsidRPr="0091564D" w:rsidRDefault="00A965E4" w:rsidP="00587091">
            <w:pPr>
              <w:rPr>
                <w:rFonts w:cstheme="minorHAnsi"/>
                <w:sz w:val="20"/>
                <w:szCs w:val="20"/>
              </w:rPr>
            </w:pPr>
            <w:r w:rsidRPr="0091564D">
              <w:rPr>
                <w:rFonts w:cstheme="minorHAnsi"/>
                <w:sz w:val="20"/>
                <w:szCs w:val="20"/>
              </w:rPr>
              <w:t>15</w:t>
            </w:r>
          </w:p>
        </w:tc>
        <w:tc>
          <w:tcPr>
            <w:tcW w:w="1616" w:type="dxa"/>
            <w:tcBorders>
              <w:top w:val="single" w:sz="4" w:space="0" w:color="auto"/>
              <w:left w:val="nil"/>
              <w:bottom w:val="single" w:sz="4" w:space="0" w:color="auto"/>
              <w:right w:val="single" w:sz="4" w:space="0" w:color="auto"/>
            </w:tcBorders>
            <w:shd w:val="clear" w:color="auto" w:fill="ABD9F8" w:themeFill="accent1" w:themeFillTint="66"/>
            <w:vAlign w:val="center"/>
          </w:tcPr>
          <w:p w:rsidR="00A965E4" w:rsidRPr="0091564D" w:rsidRDefault="00A965E4" w:rsidP="00587091">
            <w:pPr>
              <w:rPr>
                <w:rFonts w:cstheme="minorHAnsi"/>
                <w:sz w:val="20"/>
                <w:szCs w:val="20"/>
              </w:rPr>
            </w:pPr>
            <w:r w:rsidRPr="0091564D">
              <w:rPr>
                <w:rFonts w:cstheme="minorHAnsi"/>
                <w:sz w:val="20"/>
                <w:szCs w:val="20"/>
              </w:rPr>
              <w:t xml:space="preserve">Members of Parliament (x 2), academics and practitioners </w:t>
            </w:r>
          </w:p>
        </w:tc>
        <w:tc>
          <w:tcPr>
            <w:tcW w:w="1308" w:type="dxa"/>
            <w:tcBorders>
              <w:top w:val="single" w:sz="4" w:space="0" w:color="auto"/>
              <w:left w:val="nil"/>
              <w:bottom w:val="single" w:sz="4" w:space="0" w:color="auto"/>
              <w:right w:val="single" w:sz="4" w:space="0" w:color="auto"/>
            </w:tcBorders>
            <w:shd w:val="clear" w:color="auto" w:fill="ABD9F8" w:themeFill="accent1" w:themeFillTint="66"/>
            <w:vAlign w:val="center"/>
          </w:tcPr>
          <w:p w:rsidR="00A965E4" w:rsidRPr="0091564D" w:rsidRDefault="00A965E4" w:rsidP="00587091">
            <w:pPr>
              <w:rPr>
                <w:rFonts w:cstheme="minorHAnsi"/>
                <w:sz w:val="20"/>
                <w:szCs w:val="20"/>
              </w:rPr>
            </w:pPr>
            <w:r w:rsidRPr="0091564D">
              <w:rPr>
                <w:rFonts w:cstheme="minorHAnsi"/>
                <w:sz w:val="20"/>
                <w:szCs w:val="20"/>
              </w:rPr>
              <w:t>Advisory Board</w:t>
            </w:r>
          </w:p>
        </w:tc>
        <w:tc>
          <w:tcPr>
            <w:tcW w:w="1104" w:type="dxa"/>
            <w:tcBorders>
              <w:top w:val="single" w:sz="4" w:space="0" w:color="auto"/>
              <w:left w:val="nil"/>
              <w:bottom w:val="single" w:sz="4" w:space="0" w:color="auto"/>
              <w:right w:val="single" w:sz="4" w:space="0" w:color="auto"/>
            </w:tcBorders>
            <w:shd w:val="clear" w:color="auto" w:fill="ABD9F8" w:themeFill="accent1" w:themeFillTint="66"/>
            <w:vAlign w:val="center"/>
          </w:tcPr>
          <w:p w:rsidR="00A965E4" w:rsidRPr="0091564D" w:rsidRDefault="00A965E4" w:rsidP="00587091">
            <w:pPr>
              <w:rPr>
                <w:rFonts w:cstheme="minorHAnsi"/>
                <w:sz w:val="20"/>
                <w:szCs w:val="20"/>
              </w:rPr>
            </w:pPr>
            <w:r w:rsidRPr="0091564D">
              <w:rPr>
                <w:rFonts w:cstheme="minorHAnsi"/>
                <w:sz w:val="20"/>
                <w:szCs w:val="20"/>
              </w:rPr>
              <w:t>5</w:t>
            </w:r>
          </w:p>
        </w:tc>
        <w:tc>
          <w:tcPr>
            <w:tcW w:w="1925" w:type="dxa"/>
            <w:tcBorders>
              <w:top w:val="single" w:sz="4" w:space="0" w:color="auto"/>
              <w:left w:val="nil"/>
              <w:bottom w:val="single" w:sz="4" w:space="0" w:color="auto"/>
              <w:right w:val="single" w:sz="4" w:space="0" w:color="auto"/>
            </w:tcBorders>
            <w:shd w:val="clear" w:color="auto" w:fill="ABD9F8" w:themeFill="accent1" w:themeFillTint="66"/>
            <w:vAlign w:val="center"/>
          </w:tcPr>
          <w:p w:rsidR="00A965E4" w:rsidRPr="0091564D" w:rsidRDefault="00A965E4" w:rsidP="00587091">
            <w:pPr>
              <w:rPr>
                <w:rFonts w:cstheme="minorHAnsi"/>
                <w:sz w:val="20"/>
                <w:szCs w:val="20"/>
              </w:rPr>
            </w:pPr>
            <w:r w:rsidRPr="0091564D">
              <w:rPr>
                <w:rFonts w:cstheme="minorHAnsi"/>
                <w:sz w:val="20"/>
                <w:szCs w:val="20"/>
              </w:rPr>
              <w:t>Verbal presentations, written policy papers</w:t>
            </w:r>
          </w:p>
        </w:tc>
      </w:tr>
      <w:tr w:rsidR="00A965E4" w:rsidTr="00587091">
        <w:tc>
          <w:tcPr>
            <w:tcW w:w="567" w:type="dxa"/>
            <w:vAlign w:val="center"/>
          </w:tcPr>
          <w:p w:rsidR="00A965E4" w:rsidRPr="00A55C6F" w:rsidRDefault="00A965E4" w:rsidP="00587091">
            <w:pPr>
              <w:rPr>
                <w:rFonts w:cstheme="minorHAnsi"/>
                <w:b/>
                <w:i/>
                <w:sz w:val="20"/>
                <w:szCs w:val="20"/>
              </w:rPr>
            </w:pPr>
            <w:r w:rsidRPr="00A55C6F">
              <w:rPr>
                <w:rFonts w:cstheme="minorHAnsi"/>
                <w:b/>
                <w:i/>
                <w:sz w:val="20"/>
                <w:szCs w:val="20"/>
              </w:rPr>
              <w:t>39</w:t>
            </w:r>
          </w:p>
        </w:tc>
        <w:tc>
          <w:tcPr>
            <w:tcW w:w="3134" w:type="dxa"/>
            <w:tcBorders>
              <w:top w:val="nil"/>
              <w:left w:val="single" w:sz="4" w:space="0" w:color="auto"/>
              <w:bottom w:val="single" w:sz="4" w:space="0" w:color="auto"/>
              <w:right w:val="single" w:sz="4" w:space="0" w:color="auto"/>
            </w:tcBorders>
            <w:shd w:val="clear" w:color="auto" w:fill="auto"/>
            <w:vAlign w:val="center"/>
          </w:tcPr>
          <w:p w:rsidR="00A965E4" w:rsidRPr="0091564D" w:rsidRDefault="00A965E4" w:rsidP="00587091">
            <w:pPr>
              <w:rPr>
                <w:rFonts w:cstheme="minorHAnsi"/>
                <w:sz w:val="20"/>
                <w:szCs w:val="20"/>
              </w:rPr>
            </w:pPr>
            <w:r w:rsidRPr="0091564D">
              <w:rPr>
                <w:rFonts w:cstheme="minorHAnsi"/>
                <w:sz w:val="20"/>
                <w:szCs w:val="20"/>
              </w:rPr>
              <w:t>Reports, discussion, presentations</w:t>
            </w:r>
          </w:p>
        </w:tc>
        <w:tc>
          <w:tcPr>
            <w:tcW w:w="1120" w:type="dxa"/>
            <w:tcBorders>
              <w:top w:val="nil"/>
              <w:left w:val="nil"/>
              <w:bottom w:val="single" w:sz="4" w:space="0" w:color="auto"/>
              <w:right w:val="single" w:sz="4" w:space="0" w:color="auto"/>
            </w:tcBorders>
            <w:shd w:val="clear" w:color="auto" w:fill="auto"/>
            <w:vAlign w:val="center"/>
          </w:tcPr>
          <w:p w:rsidR="00A965E4" w:rsidRPr="0091564D" w:rsidRDefault="00A965E4" w:rsidP="00587091">
            <w:pPr>
              <w:rPr>
                <w:rFonts w:cstheme="minorHAnsi"/>
                <w:sz w:val="20"/>
                <w:szCs w:val="20"/>
              </w:rPr>
            </w:pPr>
            <w:r w:rsidRPr="0091564D">
              <w:rPr>
                <w:rFonts w:cstheme="minorHAnsi"/>
                <w:sz w:val="20"/>
                <w:szCs w:val="20"/>
              </w:rPr>
              <w:t xml:space="preserve">Don't know </w:t>
            </w:r>
          </w:p>
        </w:tc>
        <w:tc>
          <w:tcPr>
            <w:tcW w:w="1616" w:type="dxa"/>
            <w:tcBorders>
              <w:top w:val="nil"/>
              <w:left w:val="nil"/>
              <w:bottom w:val="single" w:sz="4" w:space="0" w:color="auto"/>
              <w:right w:val="single" w:sz="4" w:space="0" w:color="auto"/>
            </w:tcBorders>
            <w:shd w:val="clear" w:color="auto" w:fill="auto"/>
            <w:vAlign w:val="center"/>
          </w:tcPr>
          <w:p w:rsidR="00A965E4" w:rsidRPr="0091564D" w:rsidRDefault="00A965E4" w:rsidP="00587091">
            <w:pPr>
              <w:rPr>
                <w:rFonts w:cstheme="minorHAnsi"/>
                <w:sz w:val="20"/>
                <w:szCs w:val="20"/>
              </w:rPr>
            </w:pPr>
            <w:r w:rsidRPr="0091564D">
              <w:rPr>
                <w:rFonts w:cstheme="minorHAnsi"/>
                <w:sz w:val="20"/>
                <w:szCs w:val="20"/>
              </w:rPr>
              <w:t>Don't know</w:t>
            </w:r>
          </w:p>
        </w:tc>
        <w:tc>
          <w:tcPr>
            <w:tcW w:w="1308" w:type="dxa"/>
            <w:tcBorders>
              <w:top w:val="nil"/>
              <w:left w:val="nil"/>
              <w:bottom w:val="single" w:sz="4" w:space="0" w:color="auto"/>
              <w:right w:val="single" w:sz="4" w:space="0" w:color="auto"/>
            </w:tcBorders>
            <w:shd w:val="clear" w:color="auto" w:fill="auto"/>
            <w:vAlign w:val="center"/>
          </w:tcPr>
          <w:p w:rsidR="00A965E4" w:rsidRPr="0091564D" w:rsidRDefault="00A965E4" w:rsidP="00587091">
            <w:pPr>
              <w:rPr>
                <w:rFonts w:cstheme="minorHAnsi"/>
                <w:sz w:val="20"/>
                <w:szCs w:val="20"/>
              </w:rPr>
            </w:pPr>
            <w:r w:rsidRPr="0091564D">
              <w:rPr>
                <w:rFonts w:cstheme="minorHAnsi"/>
                <w:sz w:val="20"/>
                <w:szCs w:val="20"/>
              </w:rPr>
              <w:t>Don't know</w:t>
            </w:r>
          </w:p>
        </w:tc>
        <w:tc>
          <w:tcPr>
            <w:tcW w:w="1104" w:type="dxa"/>
            <w:tcBorders>
              <w:top w:val="nil"/>
              <w:left w:val="nil"/>
              <w:bottom w:val="single" w:sz="4" w:space="0" w:color="auto"/>
              <w:right w:val="single" w:sz="4" w:space="0" w:color="auto"/>
            </w:tcBorders>
            <w:shd w:val="clear" w:color="auto" w:fill="auto"/>
            <w:vAlign w:val="center"/>
          </w:tcPr>
          <w:p w:rsidR="00A965E4" w:rsidRPr="0091564D" w:rsidRDefault="00A965E4" w:rsidP="00587091">
            <w:pPr>
              <w:rPr>
                <w:rFonts w:cstheme="minorHAnsi"/>
                <w:sz w:val="20"/>
                <w:szCs w:val="20"/>
              </w:rPr>
            </w:pPr>
            <w:r w:rsidRPr="0091564D">
              <w:rPr>
                <w:rFonts w:cstheme="minorHAnsi"/>
                <w:sz w:val="20"/>
                <w:szCs w:val="20"/>
              </w:rPr>
              <w:t>Don't know</w:t>
            </w:r>
          </w:p>
        </w:tc>
        <w:tc>
          <w:tcPr>
            <w:tcW w:w="1925" w:type="dxa"/>
            <w:tcBorders>
              <w:top w:val="nil"/>
              <w:left w:val="nil"/>
              <w:bottom w:val="single" w:sz="4" w:space="0" w:color="auto"/>
              <w:right w:val="single" w:sz="4" w:space="0" w:color="auto"/>
            </w:tcBorders>
            <w:shd w:val="clear" w:color="auto" w:fill="auto"/>
            <w:vAlign w:val="center"/>
          </w:tcPr>
          <w:p w:rsidR="00A965E4" w:rsidRPr="0091564D" w:rsidRDefault="00A965E4" w:rsidP="00587091">
            <w:pPr>
              <w:rPr>
                <w:rFonts w:cstheme="minorHAnsi"/>
                <w:sz w:val="20"/>
                <w:szCs w:val="20"/>
              </w:rPr>
            </w:pPr>
            <w:r w:rsidRPr="0091564D">
              <w:rPr>
                <w:rFonts w:cstheme="minorHAnsi"/>
                <w:sz w:val="20"/>
                <w:szCs w:val="20"/>
              </w:rPr>
              <w:t>Written and oral evidence</w:t>
            </w:r>
          </w:p>
        </w:tc>
      </w:tr>
      <w:tr w:rsidR="00A965E4" w:rsidTr="00587091">
        <w:tc>
          <w:tcPr>
            <w:tcW w:w="567" w:type="dxa"/>
            <w:shd w:val="clear" w:color="auto" w:fill="ABD9F8" w:themeFill="accent1" w:themeFillTint="66"/>
            <w:vAlign w:val="center"/>
          </w:tcPr>
          <w:p w:rsidR="00A965E4" w:rsidRPr="00A55C6F" w:rsidRDefault="00A965E4" w:rsidP="00587091">
            <w:pPr>
              <w:rPr>
                <w:rFonts w:cstheme="minorHAnsi"/>
                <w:b/>
                <w:i/>
                <w:sz w:val="20"/>
                <w:szCs w:val="20"/>
              </w:rPr>
            </w:pPr>
            <w:r w:rsidRPr="00A55C6F">
              <w:rPr>
                <w:rFonts w:cstheme="minorHAnsi"/>
                <w:b/>
                <w:i/>
                <w:sz w:val="20"/>
                <w:szCs w:val="20"/>
              </w:rPr>
              <w:t>40</w:t>
            </w:r>
          </w:p>
        </w:tc>
        <w:tc>
          <w:tcPr>
            <w:tcW w:w="3134" w:type="dxa"/>
            <w:tcBorders>
              <w:top w:val="nil"/>
              <w:left w:val="single" w:sz="4" w:space="0" w:color="auto"/>
              <w:bottom w:val="single" w:sz="4" w:space="0" w:color="auto"/>
              <w:right w:val="single" w:sz="4" w:space="0" w:color="auto"/>
            </w:tcBorders>
            <w:shd w:val="clear" w:color="auto" w:fill="ABD9F8" w:themeFill="accent1" w:themeFillTint="66"/>
            <w:vAlign w:val="center"/>
          </w:tcPr>
          <w:p w:rsidR="00A965E4" w:rsidRPr="0091564D" w:rsidRDefault="00A965E4" w:rsidP="00587091">
            <w:pPr>
              <w:rPr>
                <w:rFonts w:cstheme="minorHAnsi"/>
                <w:sz w:val="20"/>
                <w:szCs w:val="20"/>
              </w:rPr>
            </w:pPr>
            <w:r w:rsidRPr="0091564D">
              <w:rPr>
                <w:rFonts w:cstheme="minorHAnsi"/>
                <w:sz w:val="20"/>
                <w:szCs w:val="20"/>
              </w:rPr>
              <w:t>Facilitated discussion, presentations</w:t>
            </w:r>
          </w:p>
        </w:tc>
        <w:tc>
          <w:tcPr>
            <w:tcW w:w="1120" w:type="dxa"/>
            <w:tcBorders>
              <w:top w:val="nil"/>
              <w:left w:val="nil"/>
              <w:bottom w:val="single" w:sz="4" w:space="0" w:color="auto"/>
              <w:right w:val="single" w:sz="4" w:space="0" w:color="auto"/>
            </w:tcBorders>
            <w:shd w:val="clear" w:color="auto" w:fill="ABD9F8" w:themeFill="accent1" w:themeFillTint="66"/>
            <w:vAlign w:val="center"/>
          </w:tcPr>
          <w:p w:rsidR="00A965E4" w:rsidRPr="0091564D" w:rsidRDefault="00A965E4" w:rsidP="00587091">
            <w:pPr>
              <w:rPr>
                <w:rFonts w:cstheme="minorHAnsi"/>
                <w:sz w:val="20"/>
                <w:szCs w:val="20"/>
              </w:rPr>
            </w:pPr>
            <w:r w:rsidRPr="0091564D">
              <w:rPr>
                <w:rFonts w:cstheme="minorHAnsi"/>
                <w:sz w:val="20"/>
                <w:szCs w:val="20"/>
              </w:rPr>
              <w:t xml:space="preserve">Don't know </w:t>
            </w:r>
          </w:p>
        </w:tc>
        <w:tc>
          <w:tcPr>
            <w:tcW w:w="1616" w:type="dxa"/>
            <w:tcBorders>
              <w:top w:val="nil"/>
              <w:left w:val="nil"/>
              <w:bottom w:val="single" w:sz="4" w:space="0" w:color="auto"/>
              <w:right w:val="single" w:sz="4" w:space="0" w:color="auto"/>
            </w:tcBorders>
            <w:shd w:val="clear" w:color="auto" w:fill="ABD9F8" w:themeFill="accent1" w:themeFillTint="66"/>
            <w:vAlign w:val="center"/>
          </w:tcPr>
          <w:p w:rsidR="00A965E4" w:rsidRPr="0091564D" w:rsidRDefault="00A965E4" w:rsidP="00587091">
            <w:pPr>
              <w:rPr>
                <w:rFonts w:cstheme="minorHAnsi"/>
                <w:sz w:val="20"/>
                <w:szCs w:val="20"/>
              </w:rPr>
            </w:pPr>
            <w:r w:rsidRPr="0091564D">
              <w:rPr>
                <w:rFonts w:cstheme="minorHAnsi"/>
                <w:sz w:val="20"/>
                <w:szCs w:val="20"/>
              </w:rPr>
              <w:t>Health practitioners, doctors, academics</w:t>
            </w:r>
          </w:p>
        </w:tc>
        <w:tc>
          <w:tcPr>
            <w:tcW w:w="1308" w:type="dxa"/>
            <w:tcBorders>
              <w:top w:val="nil"/>
              <w:left w:val="nil"/>
              <w:bottom w:val="single" w:sz="4" w:space="0" w:color="auto"/>
              <w:right w:val="single" w:sz="4" w:space="0" w:color="auto"/>
            </w:tcBorders>
            <w:shd w:val="clear" w:color="auto" w:fill="ABD9F8" w:themeFill="accent1" w:themeFillTint="66"/>
            <w:vAlign w:val="center"/>
          </w:tcPr>
          <w:p w:rsidR="00A965E4" w:rsidRPr="0091564D" w:rsidRDefault="00A965E4" w:rsidP="00587091">
            <w:pPr>
              <w:rPr>
                <w:rFonts w:cstheme="minorHAnsi"/>
                <w:sz w:val="20"/>
                <w:szCs w:val="20"/>
              </w:rPr>
            </w:pPr>
            <w:r w:rsidRPr="0091564D">
              <w:rPr>
                <w:rFonts w:cstheme="minorHAnsi"/>
                <w:sz w:val="20"/>
                <w:szCs w:val="20"/>
              </w:rPr>
              <w:t>Mini-public organisers</w:t>
            </w:r>
          </w:p>
        </w:tc>
        <w:tc>
          <w:tcPr>
            <w:tcW w:w="1104" w:type="dxa"/>
            <w:tcBorders>
              <w:top w:val="nil"/>
              <w:left w:val="nil"/>
              <w:bottom w:val="single" w:sz="4" w:space="0" w:color="auto"/>
              <w:right w:val="single" w:sz="4" w:space="0" w:color="auto"/>
            </w:tcBorders>
            <w:shd w:val="clear" w:color="auto" w:fill="ABD9F8" w:themeFill="accent1" w:themeFillTint="66"/>
            <w:vAlign w:val="center"/>
          </w:tcPr>
          <w:p w:rsidR="00A965E4" w:rsidRPr="0091564D" w:rsidRDefault="00A965E4" w:rsidP="00587091">
            <w:pPr>
              <w:rPr>
                <w:rFonts w:cstheme="minorHAnsi"/>
                <w:sz w:val="20"/>
                <w:szCs w:val="20"/>
              </w:rPr>
            </w:pPr>
            <w:r w:rsidRPr="0091564D">
              <w:rPr>
                <w:rFonts w:cstheme="minorHAnsi"/>
                <w:sz w:val="20"/>
                <w:szCs w:val="20"/>
              </w:rPr>
              <w:t>1</w:t>
            </w:r>
          </w:p>
        </w:tc>
        <w:tc>
          <w:tcPr>
            <w:tcW w:w="1925" w:type="dxa"/>
            <w:tcBorders>
              <w:top w:val="nil"/>
              <w:left w:val="nil"/>
              <w:bottom w:val="single" w:sz="4" w:space="0" w:color="auto"/>
              <w:right w:val="single" w:sz="4" w:space="0" w:color="auto"/>
            </w:tcBorders>
            <w:shd w:val="clear" w:color="auto" w:fill="ABD9F8" w:themeFill="accent1" w:themeFillTint="66"/>
            <w:vAlign w:val="center"/>
          </w:tcPr>
          <w:p w:rsidR="00A965E4" w:rsidRPr="0091564D" w:rsidRDefault="00A965E4" w:rsidP="00587091">
            <w:pPr>
              <w:rPr>
                <w:rFonts w:cstheme="minorHAnsi"/>
                <w:sz w:val="20"/>
                <w:szCs w:val="20"/>
              </w:rPr>
            </w:pPr>
            <w:r w:rsidRPr="0091564D">
              <w:rPr>
                <w:rFonts w:cstheme="minorHAnsi"/>
                <w:sz w:val="20"/>
                <w:szCs w:val="20"/>
              </w:rPr>
              <w:t>Formal presentation, written reports</w:t>
            </w:r>
          </w:p>
        </w:tc>
      </w:tr>
      <w:tr w:rsidR="00A965E4" w:rsidTr="00587091">
        <w:tc>
          <w:tcPr>
            <w:tcW w:w="567" w:type="dxa"/>
            <w:vAlign w:val="center"/>
          </w:tcPr>
          <w:p w:rsidR="00A965E4" w:rsidRPr="00A55C6F" w:rsidRDefault="00A965E4" w:rsidP="00587091">
            <w:pPr>
              <w:rPr>
                <w:rFonts w:cstheme="minorHAnsi"/>
                <w:b/>
                <w:i/>
                <w:sz w:val="20"/>
                <w:szCs w:val="20"/>
              </w:rPr>
            </w:pPr>
            <w:r w:rsidRPr="00A55C6F">
              <w:rPr>
                <w:rFonts w:cstheme="minorHAnsi"/>
                <w:b/>
                <w:i/>
                <w:sz w:val="20"/>
                <w:szCs w:val="20"/>
              </w:rPr>
              <w:t>41</w:t>
            </w:r>
          </w:p>
        </w:tc>
        <w:tc>
          <w:tcPr>
            <w:tcW w:w="3134" w:type="dxa"/>
            <w:tcBorders>
              <w:top w:val="nil"/>
              <w:left w:val="single" w:sz="4" w:space="0" w:color="auto"/>
              <w:bottom w:val="single" w:sz="4" w:space="0" w:color="auto"/>
              <w:right w:val="single" w:sz="4" w:space="0" w:color="auto"/>
            </w:tcBorders>
            <w:shd w:val="clear" w:color="auto" w:fill="auto"/>
            <w:vAlign w:val="center"/>
          </w:tcPr>
          <w:p w:rsidR="00A965E4" w:rsidRPr="0091564D" w:rsidRDefault="00A965E4" w:rsidP="00587091">
            <w:pPr>
              <w:rPr>
                <w:rFonts w:cstheme="minorHAnsi"/>
                <w:sz w:val="20"/>
                <w:szCs w:val="20"/>
              </w:rPr>
            </w:pPr>
            <w:r w:rsidRPr="0091564D">
              <w:rPr>
                <w:rFonts w:cstheme="minorHAnsi"/>
                <w:sz w:val="20"/>
                <w:szCs w:val="20"/>
              </w:rPr>
              <w:t>Plenary and small group discussions</w:t>
            </w:r>
          </w:p>
        </w:tc>
        <w:tc>
          <w:tcPr>
            <w:tcW w:w="1120" w:type="dxa"/>
            <w:tcBorders>
              <w:top w:val="nil"/>
              <w:left w:val="nil"/>
              <w:bottom w:val="single" w:sz="4" w:space="0" w:color="auto"/>
              <w:right w:val="single" w:sz="4" w:space="0" w:color="auto"/>
            </w:tcBorders>
            <w:shd w:val="clear" w:color="auto" w:fill="auto"/>
            <w:vAlign w:val="center"/>
          </w:tcPr>
          <w:p w:rsidR="00A965E4" w:rsidRPr="0091564D" w:rsidRDefault="00A965E4" w:rsidP="00587091">
            <w:pPr>
              <w:rPr>
                <w:rFonts w:cstheme="minorHAnsi"/>
                <w:sz w:val="20"/>
                <w:szCs w:val="20"/>
              </w:rPr>
            </w:pPr>
            <w:r w:rsidRPr="0091564D">
              <w:rPr>
                <w:rFonts w:cstheme="minorHAnsi"/>
                <w:sz w:val="20"/>
                <w:szCs w:val="20"/>
              </w:rPr>
              <w:t xml:space="preserve">Don't know </w:t>
            </w:r>
          </w:p>
        </w:tc>
        <w:tc>
          <w:tcPr>
            <w:tcW w:w="1616" w:type="dxa"/>
            <w:tcBorders>
              <w:top w:val="nil"/>
              <w:left w:val="nil"/>
              <w:bottom w:val="single" w:sz="4" w:space="0" w:color="auto"/>
              <w:right w:val="single" w:sz="4" w:space="0" w:color="auto"/>
            </w:tcBorders>
            <w:shd w:val="clear" w:color="auto" w:fill="auto"/>
            <w:vAlign w:val="center"/>
          </w:tcPr>
          <w:p w:rsidR="00A965E4" w:rsidRPr="0091564D" w:rsidRDefault="00A965E4" w:rsidP="00587091">
            <w:pPr>
              <w:rPr>
                <w:rFonts w:cstheme="minorHAnsi"/>
                <w:sz w:val="20"/>
                <w:szCs w:val="20"/>
              </w:rPr>
            </w:pPr>
            <w:r w:rsidRPr="0091564D">
              <w:rPr>
                <w:rFonts w:cstheme="minorHAnsi"/>
                <w:sz w:val="20"/>
                <w:szCs w:val="20"/>
              </w:rPr>
              <w:t>Don't know</w:t>
            </w:r>
          </w:p>
        </w:tc>
        <w:tc>
          <w:tcPr>
            <w:tcW w:w="1308" w:type="dxa"/>
            <w:tcBorders>
              <w:top w:val="nil"/>
              <w:left w:val="nil"/>
              <w:bottom w:val="single" w:sz="4" w:space="0" w:color="auto"/>
              <w:right w:val="single" w:sz="4" w:space="0" w:color="auto"/>
            </w:tcBorders>
            <w:shd w:val="clear" w:color="auto" w:fill="auto"/>
            <w:vAlign w:val="center"/>
          </w:tcPr>
          <w:p w:rsidR="00A965E4" w:rsidRPr="0091564D" w:rsidRDefault="00A965E4" w:rsidP="00587091">
            <w:pPr>
              <w:rPr>
                <w:rFonts w:cstheme="minorHAnsi"/>
                <w:sz w:val="20"/>
                <w:szCs w:val="20"/>
              </w:rPr>
            </w:pPr>
            <w:r w:rsidRPr="0091564D">
              <w:rPr>
                <w:rFonts w:cstheme="minorHAnsi"/>
                <w:sz w:val="20"/>
                <w:szCs w:val="20"/>
              </w:rPr>
              <w:t>Mini-public organisers</w:t>
            </w:r>
          </w:p>
        </w:tc>
        <w:tc>
          <w:tcPr>
            <w:tcW w:w="1104" w:type="dxa"/>
            <w:tcBorders>
              <w:top w:val="nil"/>
              <w:left w:val="nil"/>
              <w:bottom w:val="single" w:sz="4" w:space="0" w:color="auto"/>
              <w:right w:val="single" w:sz="4" w:space="0" w:color="auto"/>
            </w:tcBorders>
            <w:shd w:val="clear" w:color="auto" w:fill="auto"/>
            <w:vAlign w:val="center"/>
          </w:tcPr>
          <w:p w:rsidR="00A965E4" w:rsidRPr="0091564D" w:rsidRDefault="00A965E4" w:rsidP="00587091">
            <w:pPr>
              <w:rPr>
                <w:rFonts w:cstheme="minorHAnsi"/>
                <w:sz w:val="20"/>
                <w:szCs w:val="20"/>
              </w:rPr>
            </w:pPr>
            <w:r w:rsidRPr="0091564D">
              <w:rPr>
                <w:rFonts w:cstheme="minorHAnsi"/>
                <w:sz w:val="20"/>
                <w:szCs w:val="20"/>
              </w:rPr>
              <w:t>Don't know</w:t>
            </w:r>
          </w:p>
        </w:tc>
        <w:tc>
          <w:tcPr>
            <w:tcW w:w="1925" w:type="dxa"/>
            <w:tcBorders>
              <w:top w:val="nil"/>
              <w:left w:val="nil"/>
              <w:bottom w:val="single" w:sz="4" w:space="0" w:color="auto"/>
              <w:right w:val="single" w:sz="4" w:space="0" w:color="auto"/>
            </w:tcBorders>
            <w:shd w:val="clear" w:color="auto" w:fill="auto"/>
            <w:vAlign w:val="center"/>
          </w:tcPr>
          <w:p w:rsidR="00A965E4" w:rsidRPr="0091564D" w:rsidRDefault="00A965E4" w:rsidP="00587091">
            <w:pPr>
              <w:rPr>
                <w:rFonts w:cstheme="minorHAnsi"/>
                <w:sz w:val="20"/>
                <w:szCs w:val="20"/>
              </w:rPr>
            </w:pPr>
            <w:r w:rsidRPr="0091564D">
              <w:rPr>
                <w:rFonts w:cstheme="minorHAnsi"/>
                <w:sz w:val="20"/>
                <w:szCs w:val="20"/>
              </w:rPr>
              <w:t>Briefing materials, oral presentations and Q &amp; A</w:t>
            </w:r>
          </w:p>
        </w:tc>
      </w:tr>
      <w:tr w:rsidR="00A965E4" w:rsidTr="00587091">
        <w:tc>
          <w:tcPr>
            <w:tcW w:w="567" w:type="dxa"/>
            <w:shd w:val="clear" w:color="auto" w:fill="ABD9F8" w:themeFill="accent1" w:themeFillTint="66"/>
            <w:vAlign w:val="center"/>
          </w:tcPr>
          <w:p w:rsidR="00A965E4" w:rsidRPr="00A55C6F" w:rsidRDefault="00A965E4" w:rsidP="00587091">
            <w:pPr>
              <w:rPr>
                <w:rFonts w:cstheme="minorHAnsi"/>
                <w:b/>
                <w:i/>
                <w:sz w:val="20"/>
                <w:szCs w:val="20"/>
              </w:rPr>
            </w:pPr>
            <w:r w:rsidRPr="00A55C6F">
              <w:rPr>
                <w:rFonts w:cstheme="minorHAnsi"/>
                <w:b/>
                <w:i/>
                <w:sz w:val="20"/>
                <w:szCs w:val="20"/>
              </w:rPr>
              <w:t>42</w:t>
            </w:r>
          </w:p>
        </w:tc>
        <w:tc>
          <w:tcPr>
            <w:tcW w:w="3134" w:type="dxa"/>
            <w:tcBorders>
              <w:top w:val="nil"/>
              <w:left w:val="single" w:sz="4" w:space="0" w:color="auto"/>
              <w:bottom w:val="single" w:sz="4" w:space="0" w:color="auto"/>
              <w:right w:val="single" w:sz="4" w:space="0" w:color="auto"/>
            </w:tcBorders>
            <w:shd w:val="clear" w:color="auto" w:fill="ABD9F8" w:themeFill="accent1" w:themeFillTint="66"/>
            <w:vAlign w:val="center"/>
          </w:tcPr>
          <w:p w:rsidR="00A965E4" w:rsidRPr="0091564D" w:rsidRDefault="00A965E4" w:rsidP="00587091">
            <w:pPr>
              <w:rPr>
                <w:rFonts w:cstheme="minorHAnsi"/>
                <w:sz w:val="20"/>
                <w:szCs w:val="20"/>
              </w:rPr>
            </w:pPr>
            <w:r w:rsidRPr="0091564D">
              <w:rPr>
                <w:rFonts w:cstheme="minorHAnsi"/>
                <w:sz w:val="20"/>
                <w:szCs w:val="20"/>
              </w:rPr>
              <w:t>Facilitated small and plenary group discussions</w:t>
            </w:r>
          </w:p>
        </w:tc>
        <w:tc>
          <w:tcPr>
            <w:tcW w:w="1120" w:type="dxa"/>
            <w:tcBorders>
              <w:top w:val="nil"/>
              <w:left w:val="nil"/>
              <w:bottom w:val="single" w:sz="4" w:space="0" w:color="auto"/>
              <w:right w:val="single" w:sz="4" w:space="0" w:color="auto"/>
            </w:tcBorders>
            <w:shd w:val="clear" w:color="auto" w:fill="ABD9F8" w:themeFill="accent1" w:themeFillTint="66"/>
            <w:vAlign w:val="center"/>
          </w:tcPr>
          <w:p w:rsidR="00A965E4" w:rsidRPr="0091564D" w:rsidRDefault="00A965E4" w:rsidP="00587091">
            <w:pPr>
              <w:rPr>
                <w:rFonts w:cstheme="minorHAnsi"/>
                <w:sz w:val="20"/>
                <w:szCs w:val="20"/>
              </w:rPr>
            </w:pPr>
            <w:r w:rsidRPr="0091564D">
              <w:rPr>
                <w:rFonts w:cstheme="minorHAnsi"/>
                <w:sz w:val="20"/>
                <w:szCs w:val="20"/>
              </w:rPr>
              <w:t xml:space="preserve">Don't know </w:t>
            </w:r>
          </w:p>
        </w:tc>
        <w:tc>
          <w:tcPr>
            <w:tcW w:w="1616" w:type="dxa"/>
            <w:tcBorders>
              <w:top w:val="nil"/>
              <w:left w:val="nil"/>
              <w:bottom w:val="single" w:sz="4" w:space="0" w:color="auto"/>
              <w:right w:val="single" w:sz="4" w:space="0" w:color="auto"/>
            </w:tcBorders>
            <w:shd w:val="clear" w:color="auto" w:fill="ABD9F8" w:themeFill="accent1" w:themeFillTint="66"/>
            <w:vAlign w:val="center"/>
          </w:tcPr>
          <w:p w:rsidR="00A965E4" w:rsidRPr="0091564D" w:rsidRDefault="00A965E4" w:rsidP="00587091">
            <w:pPr>
              <w:rPr>
                <w:rFonts w:cstheme="minorHAnsi"/>
                <w:sz w:val="20"/>
                <w:szCs w:val="20"/>
              </w:rPr>
            </w:pPr>
            <w:r w:rsidRPr="0091564D">
              <w:rPr>
                <w:rFonts w:cstheme="minorHAnsi"/>
                <w:sz w:val="20"/>
                <w:szCs w:val="20"/>
              </w:rPr>
              <w:t>knowledge experts &amp; stakeholders</w:t>
            </w:r>
          </w:p>
        </w:tc>
        <w:tc>
          <w:tcPr>
            <w:tcW w:w="1308" w:type="dxa"/>
            <w:tcBorders>
              <w:top w:val="nil"/>
              <w:left w:val="nil"/>
              <w:bottom w:val="single" w:sz="4" w:space="0" w:color="auto"/>
              <w:right w:val="single" w:sz="4" w:space="0" w:color="auto"/>
            </w:tcBorders>
            <w:shd w:val="clear" w:color="auto" w:fill="ABD9F8" w:themeFill="accent1" w:themeFillTint="66"/>
            <w:vAlign w:val="center"/>
          </w:tcPr>
          <w:p w:rsidR="00A965E4" w:rsidRPr="0091564D" w:rsidRDefault="00A965E4" w:rsidP="00587091">
            <w:pPr>
              <w:rPr>
                <w:rFonts w:cstheme="minorHAnsi"/>
                <w:sz w:val="20"/>
                <w:szCs w:val="20"/>
              </w:rPr>
            </w:pPr>
            <w:r w:rsidRPr="0091564D">
              <w:rPr>
                <w:rFonts w:cstheme="minorHAnsi"/>
                <w:sz w:val="20"/>
                <w:szCs w:val="20"/>
              </w:rPr>
              <w:t>Mini-public organisers</w:t>
            </w:r>
          </w:p>
        </w:tc>
        <w:tc>
          <w:tcPr>
            <w:tcW w:w="1104" w:type="dxa"/>
            <w:tcBorders>
              <w:top w:val="nil"/>
              <w:left w:val="nil"/>
              <w:bottom w:val="single" w:sz="4" w:space="0" w:color="auto"/>
              <w:right w:val="single" w:sz="4" w:space="0" w:color="auto"/>
            </w:tcBorders>
            <w:shd w:val="clear" w:color="auto" w:fill="ABD9F8" w:themeFill="accent1" w:themeFillTint="66"/>
            <w:vAlign w:val="center"/>
          </w:tcPr>
          <w:p w:rsidR="00A965E4" w:rsidRPr="0091564D" w:rsidRDefault="00A965E4" w:rsidP="00587091">
            <w:pPr>
              <w:rPr>
                <w:rFonts w:cstheme="minorHAnsi"/>
                <w:sz w:val="20"/>
                <w:szCs w:val="20"/>
              </w:rPr>
            </w:pPr>
            <w:r w:rsidRPr="0091564D">
              <w:rPr>
                <w:rFonts w:cstheme="minorHAnsi"/>
                <w:sz w:val="20"/>
                <w:szCs w:val="20"/>
              </w:rPr>
              <w:t>Don't know</w:t>
            </w:r>
          </w:p>
        </w:tc>
        <w:tc>
          <w:tcPr>
            <w:tcW w:w="1925" w:type="dxa"/>
            <w:tcBorders>
              <w:top w:val="nil"/>
              <w:left w:val="nil"/>
              <w:bottom w:val="single" w:sz="4" w:space="0" w:color="auto"/>
              <w:right w:val="single" w:sz="4" w:space="0" w:color="auto"/>
            </w:tcBorders>
            <w:shd w:val="clear" w:color="auto" w:fill="ABD9F8" w:themeFill="accent1" w:themeFillTint="66"/>
            <w:vAlign w:val="center"/>
          </w:tcPr>
          <w:p w:rsidR="00A965E4" w:rsidRPr="0091564D" w:rsidRDefault="00A965E4" w:rsidP="00587091">
            <w:pPr>
              <w:rPr>
                <w:rFonts w:cstheme="minorHAnsi"/>
                <w:sz w:val="20"/>
                <w:szCs w:val="20"/>
              </w:rPr>
            </w:pPr>
            <w:r>
              <w:rPr>
                <w:rFonts w:cstheme="minorHAnsi"/>
                <w:sz w:val="20"/>
                <w:szCs w:val="20"/>
              </w:rPr>
              <w:t>Written reports, panel sessions</w:t>
            </w:r>
          </w:p>
        </w:tc>
      </w:tr>
      <w:tr w:rsidR="00A965E4" w:rsidTr="00587091">
        <w:tc>
          <w:tcPr>
            <w:tcW w:w="567" w:type="dxa"/>
            <w:vAlign w:val="center"/>
          </w:tcPr>
          <w:p w:rsidR="00A965E4" w:rsidRPr="00A55C6F" w:rsidRDefault="00A965E4" w:rsidP="00587091">
            <w:pPr>
              <w:rPr>
                <w:rFonts w:cstheme="minorHAnsi"/>
                <w:b/>
                <w:i/>
                <w:sz w:val="20"/>
                <w:szCs w:val="20"/>
              </w:rPr>
            </w:pPr>
            <w:r w:rsidRPr="00A55C6F">
              <w:rPr>
                <w:rFonts w:cstheme="minorHAnsi"/>
                <w:b/>
                <w:i/>
                <w:sz w:val="20"/>
                <w:szCs w:val="20"/>
              </w:rPr>
              <w:t>43</w:t>
            </w:r>
          </w:p>
        </w:tc>
        <w:tc>
          <w:tcPr>
            <w:tcW w:w="3134" w:type="dxa"/>
            <w:tcBorders>
              <w:top w:val="nil"/>
              <w:left w:val="single" w:sz="4" w:space="0" w:color="auto"/>
              <w:bottom w:val="single" w:sz="4" w:space="0" w:color="auto"/>
              <w:right w:val="single" w:sz="4" w:space="0" w:color="auto"/>
            </w:tcBorders>
            <w:shd w:val="clear" w:color="auto" w:fill="auto"/>
            <w:vAlign w:val="center"/>
          </w:tcPr>
          <w:p w:rsidR="00A965E4" w:rsidRPr="0091564D" w:rsidRDefault="00A965E4" w:rsidP="00587091">
            <w:pPr>
              <w:rPr>
                <w:rFonts w:cstheme="minorHAnsi"/>
                <w:sz w:val="20"/>
                <w:szCs w:val="20"/>
              </w:rPr>
            </w:pPr>
            <w:r w:rsidRPr="0091564D">
              <w:rPr>
                <w:rFonts w:cstheme="minorHAnsi"/>
                <w:sz w:val="20"/>
                <w:szCs w:val="20"/>
              </w:rPr>
              <w:t>Facilitated deliberation</w:t>
            </w:r>
          </w:p>
        </w:tc>
        <w:tc>
          <w:tcPr>
            <w:tcW w:w="1120" w:type="dxa"/>
            <w:tcBorders>
              <w:top w:val="nil"/>
              <w:left w:val="nil"/>
              <w:bottom w:val="single" w:sz="4" w:space="0" w:color="auto"/>
              <w:right w:val="single" w:sz="4" w:space="0" w:color="auto"/>
            </w:tcBorders>
            <w:shd w:val="clear" w:color="auto" w:fill="auto"/>
            <w:vAlign w:val="center"/>
          </w:tcPr>
          <w:p w:rsidR="00A965E4" w:rsidRPr="0091564D" w:rsidRDefault="00A965E4" w:rsidP="00587091">
            <w:pPr>
              <w:rPr>
                <w:rFonts w:cstheme="minorHAnsi"/>
                <w:sz w:val="20"/>
                <w:szCs w:val="20"/>
              </w:rPr>
            </w:pPr>
            <w:r w:rsidRPr="0091564D">
              <w:rPr>
                <w:rFonts w:cstheme="minorHAnsi"/>
                <w:sz w:val="20"/>
                <w:szCs w:val="20"/>
              </w:rPr>
              <w:t>Don't know</w:t>
            </w:r>
          </w:p>
        </w:tc>
        <w:tc>
          <w:tcPr>
            <w:tcW w:w="1616" w:type="dxa"/>
            <w:tcBorders>
              <w:top w:val="nil"/>
              <w:left w:val="nil"/>
              <w:bottom w:val="single" w:sz="4" w:space="0" w:color="auto"/>
              <w:right w:val="single" w:sz="4" w:space="0" w:color="auto"/>
            </w:tcBorders>
            <w:shd w:val="clear" w:color="auto" w:fill="auto"/>
            <w:vAlign w:val="center"/>
          </w:tcPr>
          <w:p w:rsidR="00A965E4" w:rsidRPr="0091564D" w:rsidRDefault="00A965E4" w:rsidP="00587091">
            <w:pPr>
              <w:rPr>
                <w:rFonts w:cstheme="minorHAnsi"/>
                <w:sz w:val="20"/>
                <w:szCs w:val="20"/>
              </w:rPr>
            </w:pPr>
            <w:r w:rsidRPr="0091564D">
              <w:rPr>
                <w:rFonts w:cstheme="minorHAnsi"/>
                <w:sz w:val="20"/>
                <w:szCs w:val="20"/>
              </w:rPr>
              <w:t>Don't know</w:t>
            </w:r>
          </w:p>
        </w:tc>
        <w:tc>
          <w:tcPr>
            <w:tcW w:w="1308" w:type="dxa"/>
            <w:tcBorders>
              <w:top w:val="nil"/>
              <w:left w:val="nil"/>
              <w:bottom w:val="single" w:sz="4" w:space="0" w:color="auto"/>
              <w:right w:val="single" w:sz="4" w:space="0" w:color="auto"/>
            </w:tcBorders>
            <w:shd w:val="clear" w:color="auto" w:fill="auto"/>
            <w:vAlign w:val="center"/>
          </w:tcPr>
          <w:p w:rsidR="00A965E4" w:rsidRPr="0091564D" w:rsidRDefault="00A965E4" w:rsidP="00587091">
            <w:pPr>
              <w:rPr>
                <w:rFonts w:cstheme="minorHAnsi"/>
                <w:sz w:val="20"/>
                <w:szCs w:val="20"/>
              </w:rPr>
            </w:pPr>
            <w:r w:rsidRPr="0091564D">
              <w:rPr>
                <w:rFonts w:cstheme="minorHAnsi"/>
                <w:sz w:val="20"/>
                <w:szCs w:val="20"/>
              </w:rPr>
              <w:t>Mini-public organisers</w:t>
            </w:r>
          </w:p>
        </w:tc>
        <w:tc>
          <w:tcPr>
            <w:tcW w:w="1104" w:type="dxa"/>
            <w:tcBorders>
              <w:top w:val="nil"/>
              <w:left w:val="nil"/>
              <w:bottom w:val="single" w:sz="4" w:space="0" w:color="auto"/>
              <w:right w:val="single" w:sz="4" w:space="0" w:color="auto"/>
            </w:tcBorders>
            <w:shd w:val="clear" w:color="auto" w:fill="auto"/>
            <w:vAlign w:val="center"/>
          </w:tcPr>
          <w:p w:rsidR="00A965E4" w:rsidRPr="0091564D" w:rsidRDefault="00A965E4" w:rsidP="00587091">
            <w:pPr>
              <w:rPr>
                <w:rFonts w:cstheme="minorHAnsi"/>
                <w:sz w:val="20"/>
                <w:szCs w:val="20"/>
              </w:rPr>
            </w:pPr>
            <w:r w:rsidRPr="0091564D">
              <w:rPr>
                <w:rFonts w:cstheme="minorHAnsi"/>
                <w:sz w:val="20"/>
                <w:szCs w:val="20"/>
              </w:rPr>
              <w:t>Don't know</w:t>
            </w:r>
          </w:p>
        </w:tc>
        <w:tc>
          <w:tcPr>
            <w:tcW w:w="1925" w:type="dxa"/>
            <w:tcBorders>
              <w:top w:val="nil"/>
              <w:left w:val="nil"/>
              <w:bottom w:val="single" w:sz="4" w:space="0" w:color="auto"/>
              <w:right w:val="single" w:sz="4" w:space="0" w:color="auto"/>
            </w:tcBorders>
            <w:shd w:val="clear" w:color="auto" w:fill="auto"/>
            <w:vAlign w:val="center"/>
          </w:tcPr>
          <w:p w:rsidR="00A965E4" w:rsidRPr="0091564D" w:rsidRDefault="00A965E4" w:rsidP="00587091">
            <w:pPr>
              <w:rPr>
                <w:rFonts w:cstheme="minorHAnsi"/>
                <w:sz w:val="20"/>
                <w:szCs w:val="20"/>
              </w:rPr>
            </w:pPr>
            <w:r w:rsidRPr="0091564D">
              <w:rPr>
                <w:rFonts w:cstheme="minorHAnsi"/>
                <w:sz w:val="20"/>
                <w:szCs w:val="20"/>
              </w:rPr>
              <w:t>Presentations, Q &amp; A</w:t>
            </w:r>
          </w:p>
        </w:tc>
      </w:tr>
      <w:tr w:rsidR="00A965E4" w:rsidTr="00587091">
        <w:tc>
          <w:tcPr>
            <w:tcW w:w="567" w:type="dxa"/>
            <w:shd w:val="clear" w:color="auto" w:fill="ABD9F8" w:themeFill="accent1" w:themeFillTint="66"/>
            <w:vAlign w:val="center"/>
          </w:tcPr>
          <w:p w:rsidR="00A965E4" w:rsidRPr="00A55C6F" w:rsidRDefault="00A965E4" w:rsidP="00587091">
            <w:pPr>
              <w:rPr>
                <w:rFonts w:cstheme="minorHAnsi"/>
                <w:b/>
                <w:i/>
                <w:sz w:val="20"/>
                <w:szCs w:val="20"/>
              </w:rPr>
            </w:pPr>
            <w:r w:rsidRPr="00A55C6F">
              <w:rPr>
                <w:rFonts w:cstheme="minorHAnsi"/>
                <w:b/>
                <w:i/>
                <w:sz w:val="20"/>
                <w:szCs w:val="20"/>
              </w:rPr>
              <w:t>44</w:t>
            </w:r>
          </w:p>
        </w:tc>
        <w:tc>
          <w:tcPr>
            <w:tcW w:w="3134" w:type="dxa"/>
            <w:tcBorders>
              <w:top w:val="nil"/>
              <w:left w:val="single" w:sz="4" w:space="0" w:color="auto"/>
              <w:bottom w:val="single" w:sz="4" w:space="0" w:color="auto"/>
              <w:right w:val="single" w:sz="4" w:space="0" w:color="auto"/>
            </w:tcBorders>
            <w:shd w:val="clear" w:color="auto" w:fill="ABD9F8" w:themeFill="accent1" w:themeFillTint="66"/>
            <w:vAlign w:val="center"/>
          </w:tcPr>
          <w:p w:rsidR="00A965E4" w:rsidRPr="0091564D" w:rsidRDefault="00A965E4" w:rsidP="00587091">
            <w:pPr>
              <w:rPr>
                <w:rFonts w:cstheme="minorHAnsi"/>
                <w:sz w:val="20"/>
                <w:szCs w:val="20"/>
              </w:rPr>
            </w:pPr>
            <w:r w:rsidRPr="0091564D">
              <w:rPr>
                <w:rFonts w:cstheme="minorHAnsi"/>
                <w:sz w:val="20"/>
                <w:szCs w:val="20"/>
              </w:rPr>
              <w:t xml:space="preserve">Facilitated plenary and small group discussions. </w:t>
            </w:r>
          </w:p>
        </w:tc>
        <w:tc>
          <w:tcPr>
            <w:tcW w:w="1120" w:type="dxa"/>
            <w:tcBorders>
              <w:top w:val="nil"/>
              <w:left w:val="nil"/>
              <w:bottom w:val="single" w:sz="4" w:space="0" w:color="auto"/>
              <w:right w:val="single" w:sz="4" w:space="0" w:color="auto"/>
            </w:tcBorders>
            <w:shd w:val="clear" w:color="auto" w:fill="ABD9F8" w:themeFill="accent1" w:themeFillTint="66"/>
            <w:vAlign w:val="center"/>
          </w:tcPr>
          <w:p w:rsidR="00A965E4" w:rsidRPr="0091564D" w:rsidRDefault="00A965E4" w:rsidP="00587091">
            <w:pPr>
              <w:rPr>
                <w:rFonts w:cstheme="minorHAnsi"/>
                <w:sz w:val="20"/>
                <w:szCs w:val="20"/>
              </w:rPr>
            </w:pPr>
            <w:r w:rsidRPr="0091564D">
              <w:rPr>
                <w:rFonts w:cstheme="minorHAnsi"/>
                <w:sz w:val="20"/>
                <w:szCs w:val="20"/>
              </w:rPr>
              <w:t>9</w:t>
            </w:r>
          </w:p>
        </w:tc>
        <w:tc>
          <w:tcPr>
            <w:tcW w:w="1616" w:type="dxa"/>
            <w:tcBorders>
              <w:top w:val="nil"/>
              <w:left w:val="nil"/>
              <w:bottom w:val="single" w:sz="4" w:space="0" w:color="auto"/>
              <w:right w:val="single" w:sz="4" w:space="0" w:color="auto"/>
            </w:tcBorders>
            <w:shd w:val="clear" w:color="auto" w:fill="ABD9F8" w:themeFill="accent1" w:themeFillTint="66"/>
            <w:vAlign w:val="center"/>
          </w:tcPr>
          <w:p w:rsidR="00A965E4" w:rsidRPr="0091564D" w:rsidRDefault="00A965E4" w:rsidP="00587091">
            <w:pPr>
              <w:rPr>
                <w:rFonts w:cstheme="minorHAnsi"/>
                <w:sz w:val="20"/>
                <w:szCs w:val="20"/>
              </w:rPr>
            </w:pPr>
            <w:r w:rsidRPr="0091564D">
              <w:rPr>
                <w:rFonts w:cstheme="minorHAnsi"/>
                <w:sz w:val="20"/>
                <w:szCs w:val="20"/>
              </w:rPr>
              <w:t xml:space="preserve">Academics in health, data and law, NHS staff, and consultants. </w:t>
            </w:r>
          </w:p>
        </w:tc>
        <w:tc>
          <w:tcPr>
            <w:tcW w:w="1308" w:type="dxa"/>
            <w:tcBorders>
              <w:top w:val="single" w:sz="4" w:space="0" w:color="auto"/>
              <w:left w:val="nil"/>
              <w:bottom w:val="single" w:sz="4" w:space="0" w:color="auto"/>
              <w:right w:val="nil"/>
            </w:tcBorders>
            <w:shd w:val="clear" w:color="auto" w:fill="ABD9F8" w:themeFill="accent1" w:themeFillTint="66"/>
            <w:vAlign w:val="center"/>
          </w:tcPr>
          <w:p w:rsidR="00A965E4" w:rsidRPr="0091564D" w:rsidRDefault="00A965E4" w:rsidP="00587091">
            <w:pPr>
              <w:rPr>
                <w:rFonts w:cstheme="minorHAnsi"/>
                <w:sz w:val="20"/>
                <w:szCs w:val="20"/>
              </w:rPr>
            </w:pPr>
            <w:r w:rsidRPr="0091564D">
              <w:rPr>
                <w:rFonts w:cstheme="minorHAnsi"/>
                <w:sz w:val="20"/>
                <w:szCs w:val="20"/>
              </w:rPr>
              <w:t>Don't know</w:t>
            </w:r>
          </w:p>
        </w:tc>
        <w:tc>
          <w:tcPr>
            <w:tcW w:w="1104" w:type="dxa"/>
            <w:tcBorders>
              <w:top w:val="nil"/>
              <w:left w:val="single" w:sz="4" w:space="0" w:color="auto"/>
              <w:bottom w:val="single" w:sz="4" w:space="0" w:color="auto"/>
              <w:right w:val="single" w:sz="4" w:space="0" w:color="auto"/>
            </w:tcBorders>
            <w:shd w:val="clear" w:color="auto" w:fill="ABD9F8" w:themeFill="accent1" w:themeFillTint="66"/>
            <w:vAlign w:val="center"/>
          </w:tcPr>
          <w:p w:rsidR="00A965E4" w:rsidRPr="0091564D" w:rsidRDefault="00A965E4" w:rsidP="00587091">
            <w:pPr>
              <w:rPr>
                <w:rFonts w:cstheme="minorHAnsi"/>
                <w:sz w:val="20"/>
                <w:szCs w:val="20"/>
              </w:rPr>
            </w:pPr>
            <w:r w:rsidRPr="0091564D">
              <w:rPr>
                <w:rFonts w:cstheme="minorHAnsi"/>
                <w:sz w:val="20"/>
                <w:szCs w:val="20"/>
              </w:rPr>
              <w:t>6</w:t>
            </w:r>
          </w:p>
        </w:tc>
        <w:tc>
          <w:tcPr>
            <w:tcW w:w="1925" w:type="dxa"/>
            <w:tcBorders>
              <w:top w:val="nil"/>
              <w:left w:val="nil"/>
              <w:bottom w:val="single" w:sz="4" w:space="0" w:color="auto"/>
              <w:right w:val="single" w:sz="4" w:space="0" w:color="auto"/>
            </w:tcBorders>
            <w:shd w:val="clear" w:color="auto" w:fill="ABD9F8" w:themeFill="accent1" w:themeFillTint="66"/>
            <w:vAlign w:val="center"/>
          </w:tcPr>
          <w:p w:rsidR="00A965E4" w:rsidRPr="0091564D" w:rsidRDefault="00A965E4" w:rsidP="00587091">
            <w:pPr>
              <w:rPr>
                <w:rFonts w:cstheme="minorHAnsi"/>
                <w:sz w:val="20"/>
                <w:szCs w:val="20"/>
              </w:rPr>
            </w:pPr>
            <w:r w:rsidRPr="0091564D">
              <w:rPr>
                <w:rFonts w:cstheme="minorHAnsi"/>
                <w:sz w:val="20"/>
                <w:szCs w:val="20"/>
              </w:rPr>
              <w:t>Oral presentations, group discussions, and facilitated plenary</w:t>
            </w:r>
          </w:p>
        </w:tc>
      </w:tr>
      <w:tr w:rsidR="00A965E4" w:rsidTr="00587091">
        <w:tc>
          <w:tcPr>
            <w:tcW w:w="567" w:type="dxa"/>
            <w:vAlign w:val="center"/>
          </w:tcPr>
          <w:p w:rsidR="00A965E4" w:rsidRPr="00A55C6F" w:rsidRDefault="00A965E4" w:rsidP="00587091">
            <w:pPr>
              <w:rPr>
                <w:rFonts w:cstheme="minorHAnsi"/>
                <w:b/>
                <w:i/>
                <w:sz w:val="20"/>
                <w:szCs w:val="20"/>
              </w:rPr>
            </w:pPr>
            <w:r w:rsidRPr="00A55C6F">
              <w:rPr>
                <w:rFonts w:cstheme="minorHAnsi"/>
                <w:b/>
                <w:i/>
                <w:sz w:val="20"/>
                <w:szCs w:val="20"/>
              </w:rPr>
              <w:t>45</w:t>
            </w:r>
          </w:p>
        </w:tc>
        <w:tc>
          <w:tcPr>
            <w:tcW w:w="3134" w:type="dxa"/>
            <w:tcBorders>
              <w:top w:val="nil"/>
              <w:left w:val="single" w:sz="4" w:space="0" w:color="auto"/>
              <w:bottom w:val="single" w:sz="4" w:space="0" w:color="auto"/>
              <w:right w:val="single" w:sz="4" w:space="0" w:color="auto"/>
            </w:tcBorders>
            <w:shd w:val="clear" w:color="auto" w:fill="auto"/>
            <w:vAlign w:val="center"/>
          </w:tcPr>
          <w:p w:rsidR="00A965E4" w:rsidRPr="0091564D" w:rsidRDefault="00A965E4" w:rsidP="00587091">
            <w:pPr>
              <w:rPr>
                <w:rFonts w:cstheme="minorHAnsi"/>
                <w:sz w:val="20"/>
                <w:szCs w:val="20"/>
              </w:rPr>
            </w:pPr>
            <w:r w:rsidRPr="0091564D">
              <w:rPr>
                <w:rFonts w:cstheme="minorHAnsi"/>
                <w:sz w:val="20"/>
                <w:szCs w:val="20"/>
              </w:rPr>
              <w:t>Facilitated plenary and small group discussion</w:t>
            </w:r>
          </w:p>
        </w:tc>
        <w:tc>
          <w:tcPr>
            <w:tcW w:w="1120" w:type="dxa"/>
            <w:tcBorders>
              <w:top w:val="nil"/>
              <w:left w:val="nil"/>
              <w:bottom w:val="single" w:sz="4" w:space="0" w:color="auto"/>
              <w:right w:val="single" w:sz="4" w:space="0" w:color="auto"/>
            </w:tcBorders>
            <w:shd w:val="clear" w:color="auto" w:fill="auto"/>
            <w:vAlign w:val="center"/>
          </w:tcPr>
          <w:p w:rsidR="00A965E4" w:rsidRPr="0091564D" w:rsidRDefault="00A965E4" w:rsidP="00587091">
            <w:pPr>
              <w:rPr>
                <w:rFonts w:cstheme="minorHAnsi"/>
                <w:sz w:val="20"/>
                <w:szCs w:val="20"/>
              </w:rPr>
            </w:pPr>
            <w:r w:rsidRPr="0091564D">
              <w:rPr>
                <w:rFonts w:cstheme="minorHAnsi"/>
                <w:sz w:val="20"/>
                <w:szCs w:val="20"/>
              </w:rPr>
              <w:t xml:space="preserve">Don't know </w:t>
            </w:r>
          </w:p>
        </w:tc>
        <w:tc>
          <w:tcPr>
            <w:tcW w:w="1616" w:type="dxa"/>
            <w:tcBorders>
              <w:top w:val="nil"/>
              <w:left w:val="nil"/>
              <w:bottom w:val="single" w:sz="4" w:space="0" w:color="auto"/>
              <w:right w:val="single" w:sz="4" w:space="0" w:color="auto"/>
            </w:tcBorders>
            <w:shd w:val="clear" w:color="auto" w:fill="auto"/>
            <w:vAlign w:val="center"/>
          </w:tcPr>
          <w:p w:rsidR="00A965E4" w:rsidRPr="0091564D" w:rsidRDefault="00A965E4" w:rsidP="00587091">
            <w:pPr>
              <w:rPr>
                <w:rFonts w:cstheme="minorHAnsi"/>
                <w:sz w:val="20"/>
                <w:szCs w:val="20"/>
              </w:rPr>
            </w:pPr>
            <w:r>
              <w:rPr>
                <w:rFonts w:cstheme="minorHAnsi"/>
                <w:sz w:val="20"/>
                <w:szCs w:val="20"/>
              </w:rPr>
              <w:t>K</w:t>
            </w:r>
            <w:r w:rsidRPr="0091564D">
              <w:rPr>
                <w:rFonts w:cstheme="minorHAnsi"/>
                <w:sz w:val="20"/>
                <w:szCs w:val="20"/>
              </w:rPr>
              <w:t>nowledge experts, stakeholders, experiential publics, representative publics.</w:t>
            </w:r>
          </w:p>
        </w:tc>
        <w:tc>
          <w:tcPr>
            <w:tcW w:w="1308" w:type="dxa"/>
            <w:tcBorders>
              <w:top w:val="single" w:sz="4" w:space="0" w:color="auto"/>
              <w:left w:val="nil"/>
              <w:bottom w:val="nil"/>
              <w:right w:val="nil"/>
            </w:tcBorders>
            <w:shd w:val="clear" w:color="auto" w:fill="auto"/>
            <w:vAlign w:val="center"/>
          </w:tcPr>
          <w:p w:rsidR="00A965E4" w:rsidRPr="0091564D" w:rsidRDefault="00A965E4" w:rsidP="00587091">
            <w:pPr>
              <w:rPr>
                <w:rFonts w:cstheme="minorHAnsi"/>
                <w:sz w:val="20"/>
                <w:szCs w:val="20"/>
              </w:rPr>
            </w:pPr>
            <w:r w:rsidRPr="0091564D">
              <w:rPr>
                <w:rFonts w:cstheme="minorHAnsi"/>
                <w:sz w:val="20"/>
                <w:szCs w:val="20"/>
              </w:rPr>
              <w:t>Mini-public organisers</w:t>
            </w:r>
          </w:p>
        </w:tc>
        <w:tc>
          <w:tcPr>
            <w:tcW w:w="1104" w:type="dxa"/>
            <w:tcBorders>
              <w:top w:val="nil"/>
              <w:left w:val="single" w:sz="4" w:space="0" w:color="auto"/>
              <w:bottom w:val="single" w:sz="4" w:space="0" w:color="auto"/>
              <w:right w:val="single" w:sz="4" w:space="0" w:color="auto"/>
            </w:tcBorders>
            <w:shd w:val="clear" w:color="auto" w:fill="auto"/>
            <w:vAlign w:val="center"/>
          </w:tcPr>
          <w:p w:rsidR="00A965E4" w:rsidRPr="0091564D" w:rsidRDefault="00A965E4" w:rsidP="00587091">
            <w:pPr>
              <w:rPr>
                <w:rFonts w:cstheme="minorHAnsi"/>
                <w:sz w:val="20"/>
                <w:szCs w:val="20"/>
              </w:rPr>
            </w:pPr>
            <w:r w:rsidRPr="0091564D">
              <w:rPr>
                <w:rFonts w:cstheme="minorHAnsi"/>
                <w:sz w:val="20"/>
                <w:szCs w:val="20"/>
              </w:rPr>
              <w:t>Don't know</w:t>
            </w:r>
          </w:p>
        </w:tc>
        <w:tc>
          <w:tcPr>
            <w:tcW w:w="1925" w:type="dxa"/>
            <w:tcBorders>
              <w:top w:val="nil"/>
              <w:left w:val="nil"/>
              <w:bottom w:val="single" w:sz="4" w:space="0" w:color="auto"/>
              <w:right w:val="single" w:sz="4" w:space="0" w:color="auto"/>
            </w:tcBorders>
            <w:shd w:val="clear" w:color="auto" w:fill="auto"/>
            <w:vAlign w:val="center"/>
          </w:tcPr>
          <w:p w:rsidR="00A965E4" w:rsidRPr="0091564D" w:rsidRDefault="00A965E4" w:rsidP="00587091">
            <w:pPr>
              <w:rPr>
                <w:rFonts w:cstheme="minorHAnsi"/>
                <w:sz w:val="20"/>
                <w:szCs w:val="20"/>
              </w:rPr>
            </w:pPr>
            <w:r w:rsidRPr="0091564D">
              <w:rPr>
                <w:rFonts w:cstheme="minorHAnsi"/>
                <w:sz w:val="20"/>
                <w:szCs w:val="20"/>
              </w:rPr>
              <w:t>Don't know</w:t>
            </w:r>
          </w:p>
        </w:tc>
      </w:tr>
      <w:tr w:rsidR="00A965E4" w:rsidTr="00587091">
        <w:tc>
          <w:tcPr>
            <w:tcW w:w="567" w:type="dxa"/>
            <w:shd w:val="clear" w:color="auto" w:fill="ABD9F8" w:themeFill="accent1" w:themeFillTint="66"/>
            <w:vAlign w:val="center"/>
          </w:tcPr>
          <w:p w:rsidR="00A965E4" w:rsidRPr="00A55C6F" w:rsidRDefault="00A965E4" w:rsidP="00587091">
            <w:pPr>
              <w:rPr>
                <w:rFonts w:cstheme="minorHAnsi"/>
                <w:b/>
                <w:i/>
                <w:sz w:val="20"/>
                <w:szCs w:val="20"/>
              </w:rPr>
            </w:pPr>
            <w:r w:rsidRPr="00A55C6F">
              <w:rPr>
                <w:rFonts w:cstheme="minorHAnsi"/>
                <w:b/>
                <w:i/>
                <w:sz w:val="20"/>
                <w:szCs w:val="20"/>
              </w:rPr>
              <w:t>46</w:t>
            </w:r>
          </w:p>
        </w:tc>
        <w:tc>
          <w:tcPr>
            <w:tcW w:w="3134" w:type="dxa"/>
            <w:tcBorders>
              <w:top w:val="nil"/>
              <w:left w:val="single" w:sz="4" w:space="0" w:color="auto"/>
              <w:bottom w:val="single" w:sz="4" w:space="0" w:color="auto"/>
              <w:right w:val="single" w:sz="4" w:space="0" w:color="auto"/>
            </w:tcBorders>
            <w:shd w:val="clear" w:color="auto" w:fill="ABD9F8" w:themeFill="accent1" w:themeFillTint="66"/>
            <w:vAlign w:val="center"/>
          </w:tcPr>
          <w:p w:rsidR="00A965E4" w:rsidRPr="0091564D" w:rsidRDefault="00A965E4" w:rsidP="00587091">
            <w:pPr>
              <w:rPr>
                <w:rFonts w:cstheme="minorHAnsi"/>
                <w:sz w:val="20"/>
                <w:szCs w:val="20"/>
              </w:rPr>
            </w:pPr>
            <w:r w:rsidRPr="0091564D">
              <w:rPr>
                <w:rFonts w:cstheme="minorHAnsi"/>
                <w:sz w:val="20"/>
                <w:szCs w:val="20"/>
              </w:rPr>
              <w:t>Facilitated small group and plenary discussion</w:t>
            </w:r>
          </w:p>
        </w:tc>
        <w:tc>
          <w:tcPr>
            <w:tcW w:w="1120" w:type="dxa"/>
            <w:tcBorders>
              <w:top w:val="nil"/>
              <w:left w:val="nil"/>
              <w:bottom w:val="single" w:sz="4" w:space="0" w:color="auto"/>
              <w:right w:val="single" w:sz="4" w:space="0" w:color="auto"/>
            </w:tcBorders>
            <w:shd w:val="clear" w:color="auto" w:fill="ABD9F8" w:themeFill="accent1" w:themeFillTint="66"/>
            <w:vAlign w:val="center"/>
          </w:tcPr>
          <w:p w:rsidR="00A965E4" w:rsidRPr="0091564D" w:rsidRDefault="00A965E4" w:rsidP="00587091">
            <w:pPr>
              <w:rPr>
                <w:rFonts w:cstheme="minorHAnsi"/>
                <w:sz w:val="20"/>
                <w:szCs w:val="20"/>
              </w:rPr>
            </w:pPr>
            <w:r w:rsidRPr="0091564D">
              <w:rPr>
                <w:rFonts w:cstheme="minorHAnsi"/>
                <w:sz w:val="20"/>
                <w:szCs w:val="20"/>
              </w:rPr>
              <w:t>11</w:t>
            </w:r>
          </w:p>
        </w:tc>
        <w:tc>
          <w:tcPr>
            <w:tcW w:w="1616" w:type="dxa"/>
            <w:tcBorders>
              <w:top w:val="nil"/>
              <w:left w:val="nil"/>
              <w:bottom w:val="single" w:sz="4" w:space="0" w:color="auto"/>
              <w:right w:val="single" w:sz="4" w:space="0" w:color="auto"/>
            </w:tcBorders>
            <w:shd w:val="clear" w:color="auto" w:fill="ABD9F8" w:themeFill="accent1" w:themeFillTint="66"/>
            <w:vAlign w:val="center"/>
          </w:tcPr>
          <w:p w:rsidR="00A965E4" w:rsidRPr="0091564D" w:rsidRDefault="00A965E4" w:rsidP="00587091">
            <w:pPr>
              <w:rPr>
                <w:rFonts w:cstheme="minorHAnsi"/>
                <w:sz w:val="20"/>
                <w:szCs w:val="20"/>
              </w:rPr>
            </w:pPr>
            <w:r w:rsidRPr="0091564D">
              <w:rPr>
                <w:rFonts w:cstheme="minorHAnsi"/>
                <w:sz w:val="20"/>
                <w:szCs w:val="20"/>
              </w:rPr>
              <w:t>NHS Citizen staff, NHS England Board members, practitioners, 4 participants</w:t>
            </w:r>
          </w:p>
        </w:tc>
        <w:tc>
          <w:tcPr>
            <w:tcW w:w="1308" w:type="dxa"/>
            <w:tcBorders>
              <w:top w:val="single" w:sz="4" w:space="0" w:color="auto"/>
              <w:left w:val="nil"/>
              <w:bottom w:val="single" w:sz="4" w:space="0" w:color="auto"/>
              <w:right w:val="single" w:sz="4" w:space="0" w:color="auto"/>
            </w:tcBorders>
            <w:shd w:val="clear" w:color="auto" w:fill="ABD9F8" w:themeFill="accent1" w:themeFillTint="66"/>
            <w:vAlign w:val="center"/>
          </w:tcPr>
          <w:p w:rsidR="00A965E4" w:rsidRPr="0091564D" w:rsidRDefault="00A965E4" w:rsidP="00587091">
            <w:pPr>
              <w:rPr>
                <w:rFonts w:cstheme="minorHAnsi"/>
                <w:sz w:val="20"/>
                <w:szCs w:val="20"/>
              </w:rPr>
            </w:pPr>
            <w:r w:rsidRPr="0091564D">
              <w:rPr>
                <w:rFonts w:cstheme="minorHAnsi"/>
                <w:sz w:val="20"/>
                <w:szCs w:val="20"/>
              </w:rPr>
              <w:t>Don't know</w:t>
            </w:r>
          </w:p>
        </w:tc>
        <w:tc>
          <w:tcPr>
            <w:tcW w:w="1104" w:type="dxa"/>
            <w:tcBorders>
              <w:top w:val="nil"/>
              <w:left w:val="nil"/>
              <w:bottom w:val="single" w:sz="4" w:space="0" w:color="auto"/>
              <w:right w:val="single" w:sz="4" w:space="0" w:color="auto"/>
            </w:tcBorders>
            <w:shd w:val="clear" w:color="auto" w:fill="ABD9F8" w:themeFill="accent1" w:themeFillTint="66"/>
            <w:vAlign w:val="center"/>
          </w:tcPr>
          <w:p w:rsidR="00A965E4" w:rsidRPr="0091564D" w:rsidRDefault="00A965E4" w:rsidP="00587091">
            <w:pPr>
              <w:rPr>
                <w:rFonts w:cstheme="minorHAnsi"/>
                <w:sz w:val="20"/>
                <w:szCs w:val="20"/>
              </w:rPr>
            </w:pPr>
            <w:r w:rsidRPr="0091564D">
              <w:rPr>
                <w:rFonts w:cstheme="minorHAnsi"/>
                <w:sz w:val="20"/>
                <w:szCs w:val="20"/>
              </w:rPr>
              <w:t>4</w:t>
            </w:r>
          </w:p>
        </w:tc>
        <w:tc>
          <w:tcPr>
            <w:tcW w:w="1925" w:type="dxa"/>
            <w:tcBorders>
              <w:top w:val="nil"/>
              <w:left w:val="nil"/>
              <w:bottom w:val="single" w:sz="4" w:space="0" w:color="auto"/>
              <w:right w:val="single" w:sz="4" w:space="0" w:color="auto"/>
            </w:tcBorders>
            <w:shd w:val="clear" w:color="auto" w:fill="ABD9F8" w:themeFill="accent1" w:themeFillTint="66"/>
            <w:vAlign w:val="center"/>
          </w:tcPr>
          <w:p w:rsidR="00A965E4" w:rsidRPr="0091564D" w:rsidRDefault="00A965E4" w:rsidP="00587091">
            <w:pPr>
              <w:rPr>
                <w:rFonts w:cstheme="minorHAnsi"/>
                <w:sz w:val="20"/>
                <w:szCs w:val="20"/>
              </w:rPr>
            </w:pPr>
            <w:r w:rsidRPr="0091564D">
              <w:rPr>
                <w:rFonts w:cstheme="minorHAnsi"/>
                <w:sz w:val="20"/>
                <w:szCs w:val="20"/>
              </w:rPr>
              <w:t>Oral presentations, group discussi</w:t>
            </w:r>
            <w:r>
              <w:rPr>
                <w:rFonts w:cstheme="minorHAnsi"/>
                <w:sz w:val="20"/>
                <w:szCs w:val="20"/>
              </w:rPr>
              <w:t>ons, facilitated plenary, video, and a</w:t>
            </w:r>
            <w:r w:rsidRPr="0091564D">
              <w:rPr>
                <w:rFonts w:cstheme="minorHAnsi"/>
                <w:sz w:val="20"/>
                <w:szCs w:val="20"/>
              </w:rPr>
              <w:t>n online discussion forum.</w:t>
            </w:r>
          </w:p>
        </w:tc>
      </w:tr>
      <w:tr w:rsidR="00A965E4" w:rsidTr="00587091">
        <w:tc>
          <w:tcPr>
            <w:tcW w:w="567" w:type="dxa"/>
            <w:vAlign w:val="center"/>
          </w:tcPr>
          <w:p w:rsidR="00A965E4" w:rsidRPr="00A55C6F" w:rsidRDefault="00A965E4" w:rsidP="00587091">
            <w:pPr>
              <w:rPr>
                <w:rFonts w:cstheme="minorHAnsi"/>
                <w:b/>
                <w:i/>
                <w:sz w:val="20"/>
                <w:szCs w:val="20"/>
              </w:rPr>
            </w:pPr>
            <w:r w:rsidRPr="00A55C6F">
              <w:rPr>
                <w:rFonts w:cstheme="minorHAnsi"/>
                <w:b/>
                <w:i/>
                <w:sz w:val="20"/>
                <w:szCs w:val="20"/>
              </w:rPr>
              <w:t>47</w:t>
            </w:r>
          </w:p>
        </w:tc>
        <w:tc>
          <w:tcPr>
            <w:tcW w:w="3134" w:type="dxa"/>
            <w:tcBorders>
              <w:top w:val="nil"/>
              <w:left w:val="single" w:sz="4" w:space="0" w:color="auto"/>
              <w:bottom w:val="single" w:sz="4" w:space="0" w:color="auto"/>
              <w:right w:val="single" w:sz="4" w:space="0" w:color="auto"/>
            </w:tcBorders>
            <w:shd w:val="clear" w:color="auto" w:fill="auto"/>
            <w:vAlign w:val="center"/>
          </w:tcPr>
          <w:p w:rsidR="00A965E4" w:rsidRPr="0091564D" w:rsidRDefault="00A965E4" w:rsidP="00587091">
            <w:pPr>
              <w:rPr>
                <w:rFonts w:cstheme="minorHAnsi"/>
                <w:sz w:val="20"/>
                <w:szCs w:val="20"/>
              </w:rPr>
            </w:pPr>
            <w:r w:rsidRPr="0091564D">
              <w:rPr>
                <w:rFonts w:cstheme="minorHAnsi"/>
                <w:sz w:val="20"/>
                <w:szCs w:val="20"/>
              </w:rPr>
              <w:t xml:space="preserve">Presentations followed by facilitated discussion. </w:t>
            </w:r>
          </w:p>
        </w:tc>
        <w:tc>
          <w:tcPr>
            <w:tcW w:w="1120" w:type="dxa"/>
            <w:tcBorders>
              <w:top w:val="nil"/>
              <w:left w:val="nil"/>
              <w:bottom w:val="single" w:sz="4" w:space="0" w:color="auto"/>
              <w:right w:val="single" w:sz="4" w:space="0" w:color="auto"/>
            </w:tcBorders>
            <w:shd w:val="clear" w:color="auto" w:fill="auto"/>
            <w:vAlign w:val="center"/>
          </w:tcPr>
          <w:p w:rsidR="00A965E4" w:rsidRPr="0091564D" w:rsidRDefault="00A965E4" w:rsidP="00587091">
            <w:pPr>
              <w:rPr>
                <w:rFonts w:cstheme="minorHAnsi"/>
                <w:sz w:val="20"/>
                <w:szCs w:val="20"/>
              </w:rPr>
            </w:pPr>
            <w:r w:rsidRPr="0091564D">
              <w:rPr>
                <w:rFonts w:cstheme="minorHAnsi"/>
                <w:sz w:val="20"/>
                <w:szCs w:val="20"/>
              </w:rPr>
              <w:t>6</w:t>
            </w:r>
          </w:p>
        </w:tc>
        <w:tc>
          <w:tcPr>
            <w:tcW w:w="1616" w:type="dxa"/>
            <w:tcBorders>
              <w:top w:val="nil"/>
              <w:left w:val="nil"/>
              <w:bottom w:val="single" w:sz="4" w:space="0" w:color="auto"/>
              <w:right w:val="single" w:sz="4" w:space="0" w:color="auto"/>
            </w:tcBorders>
            <w:shd w:val="clear" w:color="auto" w:fill="auto"/>
            <w:vAlign w:val="center"/>
          </w:tcPr>
          <w:p w:rsidR="00A965E4" w:rsidRPr="0091564D" w:rsidRDefault="00A965E4" w:rsidP="00587091">
            <w:pPr>
              <w:rPr>
                <w:rFonts w:cstheme="minorHAnsi"/>
                <w:sz w:val="20"/>
                <w:szCs w:val="20"/>
              </w:rPr>
            </w:pPr>
            <w:r w:rsidRPr="0091564D">
              <w:rPr>
                <w:rFonts w:cstheme="minorHAnsi"/>
                <w:sz w:val="20"/>
                <w:szCs w:val="20"/>
              </w:rPr>
              <w:t>Representatives from local public services.</w:t>
            </w:r>
          </w:p>
        </w:tc>
        <w:tc>
          <w:tcPr>
            <w:tcW w:w="1308" w:type="dxa"/>
            <w:tcBorders>
              <w:top w:val="nil"/>
              <w:left w:val="nil"/>
              <w:bottom w:val="single" w:sz="4" w:space="0" w:color="auto"/>
              <w:right w:val="single" w:sz="4" w:space="0" w:color="auto"/>
            </w:tcBorders>
            <w:shd w:val="clear" w:color="auto" w:fill="auto"/>
            <w:vAlign w:val="center"/>
          </w:tcPr>
          <w:p w:rsidR="00A965E4" w:rsidRPr="0091564D" w:rsidRDefault="00A965E4" w:rsidP="00587091">
            <w:pPr>
              <w:rPr>
                <w:rFonts w:cstheme="minorHAnsi"/>
                <w:sz w:val="20"/>
                <w:szCs w:val="20"/>
              </w:rPr>
            </w:pPr>
            <w:r w:rsidRPr="0091564D">
              <w:rPr>
                <w:rFonts w:cstheme="minorHAnsi"/>
                <w:sz w:val="20"/>
                <w:szCs w:val="20"/>
              </w:rPr>
              <w:t>Don't know.</w:t>
            </w:r>
          </w:p>
        </w:tc>
        <w:tc>
          <w:tcPr>
            <w:tcW w:w="1104" w:type="dxa"/>
            <w:tcBorders>
              <w:top w:val="nil"/>
              <w:left w:val="nil"/>
              <w:bottom w:val="single" w:sz="4" w:space="0" w:color="auto"/>
              <w:right w:val="single" w:sz="4" w:space="0" w:color="auto"/>
            </w:tcBorders>
            <w:shd w:val="clear" w:color="auto" w:fill="auto"/>
            <w:vAlign w:val="center"/>
          </w:tcPr>
          <w:p w:rsidR="00A965E4" w:rsidRPr="0091564D" w:rsidRDefault="00A965E4" w:rsidP="00587091">
            <w:pPr>
              <w:rPr>
                <w:rFonts w:cstheme="minorHAnsi"/>
                <w:sz w:val="20"/>
                <w:szCs w:val="20"/>
              </w:rPr>
            </w:pPr>
            <w:r w:rsidRPr="0091564D">
              <w:rPr>
                <w:rFonts w:cstheme="minorHAnsi"/>
                <w:sz w:val="20"/>
                <w:szCs w:val="20"/>
              </w:rPr>
              <w:t>3</w:t>
            </w:r>
          </w:p>
        </w:tc>
        <w:tc>
          <w:tcPr>
            <w:tcW w:w="1925" w:type="dxa"/>
            <w:tcBorders>
              <w:top w:val="nil"/>
              <w:left w:val="nil"/>
              <w:bottom w:val="single" w:sz="4" w:space="0" w:color="auto"/>
              <w:right w:val="single" w:sz="4" w:space="0" w:color="auto"/>
            </w:tcBorders>
            <w:shd w:val="clear" w:color="auto" w:fill="auto"/>
            <w:vAlign w:val="center"/>
          </w:tcPr>
          <w:p w:rsidR="00A965E4" w:rsidRPr="0091564D" w:rsidRDefault="00A965E4" w:rsidP="00587091">
            <w:pPr>
              <w:rPr>
                <w:rFonts w:cstheme="minorHAnsi"/>
                <w:sz w:val="20"/>
                <w:szCs w:val="20"/>
              </w:rPr>
            </w:pPr>
            <w:r w:rsidRPr="0091564D">
              <w:rPr>
                <w:rFonts w:cstheme="minorHAnsi"/>
                <w:sz w:val="20"/>
                <w:szCs w:val="20"/>
              </w:rPr>
              <w:t>Presentations, Q &amp; A</w:t>
            </w:r>
          </w:p>
        </w:tc>
      </w:tr>
      <w:tr w:rsidR="00A965E4" w:rsidTr="00587091">
        <w:tc>
          <w:tcPr>
            <w:tcW w:w="567" w:type="dxa"/>
            <w:shd w:val="clear" w:color="auto" w:fill="ABD9F8" w:themeFill="accent1" w:themeFillTint="66"/>
            <w:vAlign w:val="center"/>
          </w:tcPr>
          <w:p w:rsidR="00A965E4" w:rsidRPr="00A55C6F" w:rsidRDefault="00A965E4" w:rsidP="00587091">
            <w:pPr>
              <w:rPr>
                <w:rFonts w:cstheme="minorHAnsi"/>
                <w:b/>
                <w:i/>
                <w:sz w:val="20"/>
                <w:szCs w:val="20"/>
              </w:rPr>
            </w:pPr>
            <w:r w:rsidRPr="00A55C6F">
              <w:rPr>
                <w:rFonts w:cstheme="minorHAnsi"/>
                <w:b/>
                <w:i/>
                <w:sz w:val="20"/>
                <w:szCs w:val="20"/>
              </w:rPr>
              <w:t>48</w:t>
            </w:r>
          </w:p>
        </w:tc>
        <w:tc>
          <w:tcPr>
            <w:tcW w:w="3134" w:type="dxa"/>
            <w:tcBorders>
              <w:top w:val="nil"/>
              <w:left w:val="single" w:sz="4" w:space="0" w:color="auto"/>
              <w:bottom w:val="single" w:sz="4" w:space="0" w:color="auto"/>
              <w:right w:val="single" w:sz="4" w:space="0" w:color="auto"/>
            </w:tcBorders>
            <w:shd w:val="clear" w:color="auto" w:fill="ABD9F8" w:themeFill="accent1" w:themeFillTint="66"/>
            <w:vAlign w:val="center"/>
          </w:tcPr>
          <w:p w:rsidR="00A965E4" w:rsidRPr="0091564D" w:rsidRDefault="00A965E4" w:rsidP="00587091">
            <w:pPr>
              <w:rPr>
                <w:rFonts w:cstheme="minorHAnsi"/>
                <w:sz w:val="20"/>
                <w:szCs w:val="20"/>
              </w:rPr>
            </w:pPr>
            <w:r w:rsidRPr="0091564D">
              <w:rPr>
                <w:rFonts w:cstheme="minorHAnsi"/>
                <w:sz w:val="20"/>
                <w:szCs w:val="20"/>
              </w:rPr>
              <w:t>Facilitated small group and plenary discussion</w:t>
            </w:r>
          </w:p>
        </w:tc>
        <w:tc>
          <w:tcPr>
            <w:tcW w:w="1120" w:type="dxa"/>
            <w:tcBorders>
              <w:top w:val="nil"/>
              <w:left w:val="nil"/>
              <w:bottom w:val="single" w:sz="4" w:space="0" w:color="auto"/>
              <w:right w:val="single" w:sz="4" w:space="0" w:color="auto"/>
            </w:tcBorders>
            <w:shd w:val="clear" w:color="auto" w:fill="ABD9F8" w:themeFill="accent1" w:themeFillTint="66"/>
            <w:vAlign w:val="center"/>
          </w:tcPr>
          <w:p w:rsidR="00A965E4" w:rsidRPr="0091564D" w:rsidRDefault="00A965E4" w:rsidP="00587091">
            <w:pPr>
              <w:rPr>
                <w:rFonts w:cstheme="minorHAnsi"/>
                <w:sz w:val="20"/>
                <w:szCs w:val="20"/>
              </w:rPr>
            </w:pPr>
            <w:r w:rsidRPr="0091564D">
              <w:rPr>
                <w:rFonts w:cstheme="minorHAnsi"/>
                <w:sz w:val="20"/>
                <w:szCs w:val="20"/>
              </w:rPr>
              <w:t>15</w:t>
            </w:r>
          </w:p>
        </w:tc>
        <w:tc>
          <w:tcPr>
            <w:tcW w:w="1616" w:type="dxa"/>
            <w:tcBorders>
              <w:top w:val="nil"/>
              <w:left w:val="nil"/>
              <w:bottom w:val="single" w:sz="4" w:space="0" w:color="auto"/>
              <w:right w:val="single" w:sz="4" w:space="0" w:color="auto"/>
            </w:tcBorders>
            <w:shd w:val="clear" w:color="auto" w:fill="ABD9F8" w:themeFill="accent1" w:themeFillTint="66"/>
            <w:vAlign w:val="center"/>
          </w:tcPr>
          <w:p w:rsidR="00A965E4" w:rsidRPr="0091564D" w:rsidRDefault="00A965E4" w:rsidP="00587091">
            <w:pPr>
              <w:rPr>
                <w:rFonts w:cstheme="minorHAnsi"/>
                <w:sz w:val="20"/>
                <w:szCs w:val="20"/>
              </w:rPr>
            </w:pPr>
            <w:r w:rsidRPr="0091564D">
              <w:rPr>
                <w:rFonts w:cstheme="minorHAnsi"/>
                <w:sz w:val="20"/>
                <w:szCs w:val="20"/>
              </w:rPr>
              <w:t>Knowledge experts and stakeholders</w:t>
            </w:r>
          </w:p>
        </w:tc>
        <w:tc>
          <w:tcPr>
            <w:tcW w:w="1308" w:type="dxa"/>
            <w:tcBorders>
              <w:top w:val="nil"/>
              <w:left w:val="nil"/>
              <w:bottom w:val="single" w:sz="4" w:space="0" w:color="auto"/>
              <w:right w:val="single" w:sz="4" w:space="0" w:color="auto"/>
            </w:tcBorders>
            <w:shd w:val="clear" w:color="auto" w:fill="ABD9F8" w:themeFill="accent1" w:themeFillTint="66"/>
            <w:vAlign w:val="center"/>
          </w:tcPr>
          <w:p w:rsidR="00A965E4" w:rsidRPr="0091564D" w:rsidRDefault="00A965E4" w:rsidP="00587091">
            <w:pPr>
              <w:rPr>
                <w:rFonts w:cstheme="minorHAnsi"/>
                <w:sz w:val="20"/>
                <w:szCs w:val="20"/>
              </w:rPr>
            </w:pPr>
            <w:r w:rsidRPr="0091564D">
              <w:rPr>
                <w:rFonts w:cstheme="minorHAnsi"/>
                <w:sz w:val="20"/>
                <w:szCs w:val="20"/>
              </w:rPr>
              <w:t>Don't know</w:t>
            </w:r>
          </w:p>
        </w:tc>
        <w:tc>
          <w:tcPr>
            <w:tcW w:w="1104" w:type="dxa"/>
            <w:tcBorders>
              <w:top w:val="nil"/>
              <w:left w:val="nil"/>
              <w:bottom w:val="single" w:sz="4" w:space="0" w:color="auto"/>
              <w:right w:val="single" w:sz="4" w:space="0" w:color="auto"/>
            </w:tcBorders>
            <w:shd w:val="clear" w:color="auto" w:fill="ABD9F8" w:themeFill="accent1" w:themeFillTint="66"/>
            <w:vAlign w:val="center"/>
          </w:tcPr>
          <w:p w:rsidR="00A965E4" w:rsidRPr="0091564D" w:rsidRDefault="00A965E4" w:rsidP="00587091">
            <w:pPr>
              <w:rPr>
                <w:rFonts w:cstheme="minorHAnsi"/>
                <w:sz w:val="20"/>
                <w:szCs w:val="20"/>
              </w:rPr>
            </w:pPr>
            <w:r w:rsidRPr="0091564D">
              <w:rPr>
                <w:rFonts w:cstheme="minorHAnsi"/>
                <w:sz w:val="20"/>
                <w:szCs w:val="20"/>
              </w:rPr>
              <w:t>10</w:t>
            </w:r>
          </w:p>
        </w:tc>
        <w:tc>
          <w:tcPr>
            <w:tcW w:w="1925" w:type="dxa"/>
            <w:tcBorders>
              <w:top w:val="nil"/>
              <w:left w:val="nil"/>
              <w:bottom w:val="single" w:sz="4" w:space="0" w:color="auto"/>
              <w:right w:val="single" w:sz="4" w:space="0" w:color="auto"/>
            </w:tcBorders>
            <w:shd w:val="clear" w:color="auto" w:fill="ABD9F8" w:themeFill="accent1" w:themeFillTint="66"/>
            <w:vAlign w:val="center"/>
          </w:tcPr>
          <w:p w:rsidR="00A965E4" w:rsidRPr="0091564D" w:rsidRDefault="00A965E4" w:rsidP="00587091">
            <w:pPr>
              <w:rPr>
                <w:rFonts w:cstheme="minorHAnsi"/>
                <w:sz w:val="20"/>
                <w:szCs w:val="20"/>
              </w:rPr>
            </w:pPr>
            <w:r w:rsidRPr="0091564D">
              <w:rPr>
                <w:rFonts w:cstheme="minorHAnsi"/>
                <w:sz w:val="20"/>
                <w:szCs w:val="20"/>
              </w:rPr>
              <w:t>Presentations, Q &amp; A</w:t>
            </w:r>
          </w:p>
        </w:tc>
      </w:tr>
      <w:tr w:rsidR="00A965E4" w:rsidTr="00587091">
        <w:tc>
          <w:tcPr>
            <w:tcW w:w="567" w:type="dxa"/>
            <w:vAlign w:val="center"/>
          </w:tcPr>
          <w:p w:rsidR="00A965E4" w:rsidRPr="00A55C6F" w:rsidRDefault="00A965E4" w:rsidP="00587091">
            <w:pPr>
              <w:rPr>
                <w:rFonts w:cstheme="minorHAnsi"/>
                <w:b/>
                <w:i/>
                <w:sz w:val="20"/>
                <w:szCs w:val="20"/>
              </w:rPr>
            </w:pPr>
            <w:r w:rsidRPr="00A55C6F">
              <w:rPr>
                <w:rFonts w:cstheme="minorHAnsi"/>
                <w:b/>
                <w:i/>
                <w:sz w:val="20"/>
                <w:szCs w:val="20"/>
              </w:rPr>
              <w:t>49</w:t>
            </w:r>
          </w:p>
        </w:tc>
        <w:tc>
          <w:tcPr>
            <w:tcW w:w="3134" w:type="dxa"/>
            <w:tcBorders>
              <w:top w:val="nil"/>
              <w:left w:val="single" w:sz="4" w:space="0" w:color="auto"/>
              <w:bottom w:val="single" w:sz="4" w:space="0" w:color="auto"/>
              <w:right w:val="single" w:sz="4" w:space="0" w:color="auto"/>
            </w:tcBorders>
            <w:shd w:val="clear" w:color="auto" w:fill="auto"/>
            <w:vAlign w:val="center"/>
          </w:tcPr>
          <w:p w:rsidR="00A965E4" w:rsidRPr="0091564D" w:rsidRDefault="00A965E4" w:rsidP="00587091">
            <w:pPr>
              <w:rPr>
                <w:rFonts w:cstheme="minorHAnsi"/>
                <w:sz w:val="20"/>
                <w:szCs w:val="20"/>
              </w:rPr>
            </w:pPr>
            <w:r w:rsidRPr="0091564D">
              <w:rPr>
                <w:rFonts w:cstheme="minorHAnsi"/>
                <w:sz w:val="20"/>
                <w:szCs w:val="20"/>
              </w:rPr>
              <w:t>Small group facilitated discussion</w:t>
            </w:r>
          </w:p>
        </w:tc>
        <w:tc>
          <w:tcPr>
            <w:tcW w:w="1120" w:type="dxa"/>
            <w:tcBorders>
              <w:top w:val="nil"/>
              <w:left w:val="nil"/>
              <w:bottom w:val="single" w:sz="4" w:space="0" w:color="auto"/>
              <w:right w:val="single" w:sz="4" w:space="0" w:color="auto"/>
            </w:tcBorders>
            <w:shd w:val="clear" w:color="auto" w:fill="auto"/>
            <w:vAlign w:val="center"/>
          </w:tcPr>
          <w:p w:rsidR="00A965E4" w:rsidRPr="0091564D" w:rsidRDefault="00A965E4" w:rsidP="00587091">
            <w:pPr>
              <w:rPr>
                <w:rFonts w:cstheme="minorHAnsi"/>
                <w:sz w:val="20"/>
                <w:szCs w:val="20"/>
              </w:rPr>
            </w:pPr>
            <w:r w:rsidRPr="0091564D">
              <w:rPr>
                <w:rFonts w:cstheme="minorHAnsi"/>
                <w:sz w:val="20"/>
                <w:szCs w:val="20"/>
              </w:rPr>
              <w:t xml:space="preserve">Don't know </w:t>
            </w:r>
          </w:p>
        </w:tc>
        <w:tc>
          <w:tcPr>
            <w:tcW w:w="1616" w:type="dxa"/>
            <w:tcBorders>
              <w:top w:val="nil"/>
              <w:left w:val="nil"/>
              <w:bottom w:val="single" w:sz="4" w:space="0" w:color="auto"/>
              <w:right w:val="single" w:sz="4" w:space="0" w:color="auto"/>
            </w:tcBorders>
            <w:shd w:val="clear" w:color="auto" w:fill="auto"/>
            <w:vAlign w:val="center"/>
          </w:tcPr>
          <w:p w:rsidR="00A965E4" w:rsidRPr="0091564D" w:rsidRDefault="00A965E4" w:rsidP="00587091">
            <w:pPr>
              <w:rPr>
                <w:rFonts w:cstheme="minorHAnsi"/>
                <w:sz w:val="20"/>
                <w:szCs w:val="20"/>
              </w:rPr>
            </w:pPr>
            <w:r w:rsidRPr="0091564D">
              <w:rPr>
                <w:rFonts w:cstheme="minorHAnsi"/>
                <w:sz w:val="20"/>
                <w:szCs w:val="20"/>
              </w:rPr>
              <w:t xml:space="preserve">Knowledge experts and stakeholders (Government, civil society, nanoscience, funding bodies, and academia). </w:t>
            </w:r>
          </w:p>
        </w:tc>
        <w:tc>
          <w:tcPr>
            <w:tcW w:w="1308" w:type="dxa"/>
            <w:tcBorders>
              <w:top w:val="nil"/>
              <w:left w:val="nil"/>
              <w:bottom w:val="single" w:sz="4" w:space="0" w:color="auto"/>
              <w:right w:val="single" w:sz="4" w:space="0" w:color="auto"/>
            </w:tcBorders>
            <w:shd w:val="clear" w:color="auto" w:fill="auto"/>
            <w:vAlign w:val="center"/>
          </w:tcPr>
          <w:p w:rsidR="00A965E4" w:rsidRPr="0091564D" w:rsidRDefault="00A965E4" w:rsidP="00587091">
            <w:pPr>
              <w:rPr>
                <w:rFonts w:cstheme="minorHAnsi"/>
                <w:sz w:val="20"/>
                <w:szCs w:val="20"/>
              </w:rPr>
            </w:pPr>
            <w:r w:rsidRPr="0091564D">
              <w:rPr>
                <w:rFonts w:cstheme="minorHAnsi"/>
                <w:sz w:val="20"/>
                <w:szCs w:val="20"/>
              </w:rPr>
              <w:t>Recruited by the oversight panel.</w:t>
            </w:r>
          </w:p>
        </w:tc>
        <w:tc>
          <w:tcPr>
            <w:tcW w:w="1104" w:type="dxa"/>
            <w:tcBorders>
              <w:top w:val="nil"/>
              <w:left w:val="nil"/>
              <w:bottom w:val="single" w:sz="4" w:space="0" w:color="auto"/>
              <w:right w:val="single" w:sz="4" w:space="0" w:color="auto"/>
            </w:tcBorders>
            <w:shd w:val="clear" w:color="auto" w:fill="auto"/>
            <w:vAlign w:val="center"/>
          </w:tcPr>
          <w:p w:rsidR="00A965E4" w:rsidRPr="0091564D" w:rsidRDefault="00A965E4" w:rsidP="00587091">
            <w:pPr>
              <w:rPr>
                <w:rFonts w:cstheme="minorHAnsi"/>
                <w:sz w:val="20"/>
                <w:szCs w:val="20"/>
              </w:rPr>
            </w:pPr>
            <w:r w:rsidRPr="0091564D">
              <w:rPr>
                <w:rFonts w:cstheme="minorHAnsi"/>
                <w:sz w:val="20"/>
                <w:szCs w:val="20"/>
              </w:rPr>
              <w:t>Don't know</w:t>
            </w:r>
          </w:p>
        </w:tc>
        <w:tc>
          <w:tcPr>
            <w:tcW w:w="1925" w:type="dxa"/>
            <w:tcBorders>
              <w:top w:val="nil"/>
              <w:left w:val="nil"/>
              <w:bottom w:val="single" w:sz="4" w:space="0" w:color="auto"/>
              <w:right w:val="single" w:sz="4" w:space="0" w:color="auto"/>
            </w:tcBorders>
            <w:shd w:val="clear" w:color="auto" w:fill="auto"/>
            <w:vAlign w:val="center"/>
          </w:tcPr>
          <w:p w:rsidR="00A965E4" w:rsidRPr="0091564D" w:rsidRDefault="00A965E4" w:rsidP="00587091">
            <w:pPr>
              <w:rPr>
                <w:rFonts w:cstheme="minorHAnsi"/>
                <w:sz w:val="20"/>
                <w:szCs w:val="20"/>
              </w:rPr>
            </w:pPr>
            <w:r w:rsidRPr="0091564D">
              <w:rPr>
                <w:rFonts w:cstheme="minorHAnsi"/>
                <w:sz w:val="20"/>
                <w:szCs w:val="20"/>
              </w:rPr>
              <w:t>Presentations, Q &amp; A</w:t>
            </w:r>
          </w:p>
        </w:tc>
      </w:tr>
    </w:tbl>
    <w:p w:rsidR="00A965E4" w:rsidRDefault="00A965E4" w:rsidP="005F7A33">
      <w:pPr>
        <w:jc w:val="both"/>
        <w:rPr>
          <w:sz w:val="24"/>
          <w:szCs w:val="24"/>
        </w:rPr>
      </w:pPr>
    </w:p>
    <w:p w:rsidR="00A965E4" w:rsidRDefault="00A965E4" w:rsidP="005F7A33">
      <w:pPr>
        <w:jc w:val="both"/>
        <w:rPr>
          <w:sz w:val="24"/>
          <w:szCs w:val="24"/>
        </w:rPr>
      </w:pPr>
    </w:p>
    <w:p w:rsidR="00D95475" w:rsidRPr="00A676F7" w:rsidRDefault="00D95475" w:rsidP="00A676F7">
      <w:pPr>
        <w:jc w:val="both"/>
        <w:rPr>
          <w:i/>
          <w:sz w:val="24"/>
          <w:szCs w:val="24"/>
          <w:lang w:val="it-IT"/>
        </w:rPr>
      </w:pPr>
    </w:p>
    <w:p w:rsidR="00A676F7" w:rsidRPr="005A5D6A" w:rsidRDefault="00A676F7" w:rsidP="00A676F7">
      <w:pPr>
        <w:numPr>
          <w:ilvl w:val="0"/>
          <w:numId w:val="14"/>
        </w:numPr>
        <w:jc w:val="both"/>
        <w:rPr>
          <w:b/>
          <w:i/>
          <w:color w:val="0B5484" w:themeColor="accent1" w:themeShade="80"/>
          <w:sz w:val="24"/>
          <w:szCs w:val="24"/>
          <w:lang w:val="it-IT"/>
        </w:rPr>
      </w:pPr>
      <w:r w:rsidRPr="005A5D6A">
        <w:rPr>
          <w:b/>
          <w:i/>
          <w:color w:val="0B5484" w:themeColor="accent1" w:themeShade="80"/>
          <w:sz w:val="24"/>
          <w:szCs w:val="24"/>
        </w:rPr>
        <w:lastRenderedPageBreak/>
        <w:t xml:space="preserve">Are there any trends across the cases in each country that suggest some </w:t>
      </w:r>
      <w:r w:rsidRPr="005A5D6A">
        <w:rPr>
          <w:b/>
          <w:i/>
          <w:color w:val="0B5484" w:themeColor="accent1" w:themeShade="80"/>
          <w:sz w:val="24"/>
          <w:szCs w:val="24"/>
          <w:lang w:val="it-IT"/>
        </w:rPr>
        <w:t>types of expert, methods of expert recruitment, and the methods of presentation of evidence influences the liklihood a mini-public will influence policy and practice?</w:t>
      </w:r>
    </w:p>
    <w:p w:rsidR="00A676F7" w:rsidRPr="00A676F7" w:rsidRDefault="00A676F7" w:rsidP="00A676F7">
      <w:pPr>
        <w:jc w:val="both"/>
        <w:rPr>
          <w:sz w:val="24"/>
          <w:szCs w:val="24"/>
          <w:lang w:val="it-IT"/>
        </w:rPr>
      </w:pPr>
      <w:r w:rsidRPr="00A676F7">
        <w:rPr>
          <w:sz w:val="24"/>
          <w:szCs w:val="24"/>
          <w:lang w:val="it-IT"/>
        </w:rPr>
        <w:t xml:space="preserve">Across the case studies, little data exists to show how experts were recruited to ascertain if there is a link with how likely the mini-public will influence policy and practice. In addition, it was not clear how many experts took part in the UK mini-publics.  For those case studies wtih data available, it seems that evidence is presented through witness presentations, panel discussion sessions, facilitated discussion, and written outputs. </w:t>
      </w:r>
    </w:p>
    <w:p w:rsidR="00A676F7" w:rsidRPr="00A676F7" w:rsidRDefault="00A676F7" w:rsidP="00A676F7">
      <w:pPr>
        <w:jc w:val="both"/>
        <w:rPr>
          <w:sz w:val="24"/>
          <w:szCs w:val="24"/>
          <w:lang w:val="it-IT"/>
        </w:rPr>
      </w:pPr>
      <w:r w:rsidRPr="00A676F7">
        <w:rPr>
          <w:sz w:val="24"/>
          <w:szCs w:val="24"/>
          <w:lang w:val="it-IT"/>
        </w:rPr>
        <w:t>The one exception is NanoJury UK which analysed and evaluated the expert witness recruitment process, and the presentation of evidence</w:t>
      </w:r>
      <w:r w:rsidR="00A965E4">
        <w:rPr>
          <w:sz w:val="24"/>
          <w:szCs w:val="24"/>
          <w:lang w:val="it-IT"/>
        </w:rPr>
        <w:t xml:space="preserve"> (case no.49)</w:t>
      </w:r>
      <w:r w:rsidRPr="00A676F7">
        <w:rPr>
          <w:sz w:val="24"/>
          <w:szCs w:val="24"/>
          <w:lang w:val="it-IT"/>
        </w:rPr>
        <w:t>. The main focus of this evaluation was to understand how the mini</w:t>
      </w:r>
      <w:r w:rsidR="00E24CC1">
        <w:rPr>
          <w:sz w:val="24"/>
          <w:szCs w:val="24"/>
          <w:lang w:val="it-IT"/>
        </w:rPr>
        <w:t>-</w:t>
      </w:r>
      <w:r w:rsidRPr="00A676F7">
        <w:rPr>
          <w:sz w:val="24"/>
          <w:szCs w:val="24"/>
          <w:lang w:val="it-IT"/>
        </w:rPr>
        <w:t>public could be used to foster public understanding of the topic, but it did have policy and practice implications</w:t>
      </w:r>
      <w:r w:rsidR="00E24CC1">
        <w:rPr>
          <w:sz w:val="24"/>
          <w:szCs w:val="24"/>
          <w:lang w:val="it-IT"/>
        </w:rPr>
        <w:t>, and lessons for how mini-</w:t>
      </w:r>
      <w:r w:rsidRPr="00A676F7">
        <w:rPr>
          <w:sz w:val="24"/>
          <w:szCs w:val="24"/>
          <w:lang w:val="it-IT"/>
        </w:rPr>
        <w:t>publics could be used. Prior to NanoJury UK, there had been concerns that the public amplify risks. However, the explicit recruitment of a balanced range of advocates and critics from across different sectors fostered a wide ranging discussion. This meant that the public did not solely express concerns about the risks of nanotechnology, nor did they solely highlight negative consequences. This led Rogers-Hayden &amp; Pidgeon (2006</w:t>
      </w:r>
      <w:r w:rsidR="00E24CC1">
        <w:rPr>
          <w:sz w:val="24"/>
          <w:szCs w:val="24"/>
          <w:lang w:val="it-IT"/>
        </w:rPr>
        <w:t xml:space="preserve">: </w:t>
      </w:r>
      <w:r w:rsidRPr="00A676F7">
        <w:rPr>
          <w:sz w:val="24"/>
          <w:szCs w:val="24"/>
          <w:lang w:val="it-IT"/>
        </w:rPr>
        <w:t>177) to conclude that the science and</w:t>
      </w:r>
      <w:r w:rsidR="00E24CC1">
        <w:rPr>
          <w:sz w:val="24"/>
          <w:szCs w:val="24"/>
          <w:lang w:val="it-IT"/>
        </w:rPr>
        <w:t xml:space="preserve"> business community should not ‘fear’</w:t>
      </w:r>
      <w:r w:rsidRPr="00A676F7">
        <w:rPr>
          <w:sz w:val="24"/>
          <w:szCs w:val="24"/>
          <w:lang w:val="it-IT"/>
        </w:rPr>
        <w:t xml:space="preserve"> public engagement</w:t>
      </w:r>
      <w:r w:rsidR="00E24CC1">
        <w:rPr>
          <w:sz w:val="24"/>
          <w:szCs w:val="24"/>
          <w:lang w:val="it-IT"/>
        </w:rPr>
        <w:t xml:space="preserve">  as ‘s</w:t>
      </w:r>
      <w:proofErr w:type="spellStart"/>
      <w:r w:rsidRPr="00A676F7">
        <w:rPr>
          <w:sz w:val="24"/>
          <w:szCs w:val="24"/>
        </w:rPr>
        <w:t>uch</w:t>
      </w:r>
      <w:proofErr w:type="spellEnd"/>
      <w:r w:rsidRPr="00A676F7">
        <w:rPr>
          <w:sz w:val="24"/>
          <w:szCs w:val="24"/>
        </w:rPr>
        <w:t xml:space="preserve"> upstream dialogue can aid in the development processes of new technologies rather than inhibit them, by facilitating an exchange of ideas about values and societal aspirations before technologies and their trajectories are developed and locked in and before polarize</w:t>
      </w:r>
      <w:r w:rsidR="00E24CC1">
        <w:rPr>
          <w:sz w:val="24"/>
          <w:szCs w:val="24"/>
        </w:rPr>
        <w:t>d public discourse has occurred’ (</w:t>
      </w:r>
      <w:r w:rsidR="00E24CC1" w:rsidRPr="00A676F7">
        <w:rPr>
          <w:sz w:val="24"/>
          <w:szCs w:val="24"/>
          <w:lang w:val="it-IT"/>
        </w:rPr>
        <w:t>Hayden &amp; Pidgeon</w:t>
      </w:r>
      <w:r w:rsidR="00E24CC1">
        <w:rPr>
          <w:sz w:val="24"/>
          <w:szCs w:val="24"/>
          <w:lang w:val="it-IT"/>
        </w:rPr>
        <w:t xml:space="preserve">: </w:t>
      </w:r>
      <w:r w:rsidRPr="00A676F7">
        <w:rPr>
          <w:sz w:val="24"/>
          <w:szCs w:val="24"/>
        </w:rPr>
        <w:t>178).</w:t>
      </w:r>
    </w:p>
    <w:p w:rsidR="00A676F7" w:rsidRPr="00A676F7" w:rsidRDefault="00A676F7" w:rsidP="00A676F7">
      <w:pPr>
        <w:jc w:val="both"/>
        <w:rPr>
          <w:sz w:val="24"/>
          <w:szCs w:val="24"/>
          <w:lang w:val="it-IT"/>
        </w:rPr>
      </w:pPr>
      <w:r w:rsidRPr="00A676F7">
        <w:rPr>
          <w:sz w:val="24"/>
          <w:szCs w:val="24"/>
          <w:lang w:val="it-IT"/>
        </w:rPr>
        <w:t>Another case study which raises lessons for expert recruitment is the Citizen</w:t>
      </w:r>
      <w:r w:rsidR="00372757">
        <w:rPr>
          <w:sz w:val="24"/>
          <w:szCs w:val="24"/>
          <w:lang w:val="it-IT"/>
        </w:rPr>
        <w:t>s’</w:t>
      </w:r>
      <w:r w:rsidRPr="00A676F7">
        <w:rPr>
          <w:sz w:val="24"/>
          <w:szCs w:val="24"/>
          <w:lang w:val="it-IT"/>
        </w:rPr>
        <w:t xml:space="preserve"> Jury for the Build Phase of NHS Citizen</w:t>
      </w:r>
      <w:r w:rsidR="00A965E4">
        <w:rPr>
          <w:sz w:val="24"/>
          <w:szCs w:val="24"/>
          <w:lang w:val="it-IT"/>
        </w:rPr>
        <w:t xml:space="preserve"> (case no.43)</w:t>
      </w:r>
      <w:r w:rsidR="00A965E4" w:rsidRPr="00A676F7">
        <w:rPr>
          <w:sz w:val="24"/>
          <w:szCs w:val="24"/>
          <w:lang w:val="it-IT"/>
        </w:rPr>
        <w:t xml:space="preserve">. </w:t>
      </w:r>
      <w:r w:rsidRPr="00A676F7">
        <w:rPr>
          <w:sz w:val="24"/>
          <w:szCs w:val="24"/>
          <w:lang w:val="it-IT"/>
        </w:rPr>
        <w:t xml:space="preserve"> The expert witnesses, who were pr</w:t>
      </w:r>
      <w:r w:rsidR="005A5D6A">
        <w:rPr>
          <w:sz w:val="24"/>
          <w:szCs w:val="24"/>
          <w:lang w:val="it-IT"/>
        </w:rPr>
        <w:t>esenters from NHS England, was ‘rushed’</w:t>
      </w:r>
      <w:r w:rsidRPr="00A676F7">
        <w:rPr>
          <w:sz w:val="24"/>
          <w:szCs w:val="24"/>
          <w:lang w:val="it-IT"/>
        </w:rPr>
        <w:t xml:space="preserve"> and did not leave enough time for briefing ahead of the event (Fletcher 2017).</w:t>
      </w:r>
    </w:p>
    <w:p w:rsidR="00A676F7" w:rsidRPr="00A676F7" w:rsidRDefault="00A676F7" w:rsidP="00A676F7">
      <w:pPr>
        <w:jc w:val="both"/>
        <w:rPr>
          <w:i/>
          <w:sz w:val="24"/>
          <w:szCs w:val="24"/>
          <w:lang w:val="it-IT"/>
        </w:rPr>
      </w:pPr>
    </w:p>
    <w:p w:rsidR="00A676F7" w:rsidRPr="005A5D6A" w:rsidRDefault="00A676F7" w:rsidP="00A676F7">
      <w:pPr>
        <w:numPr>
          <w:ilvl w:val="0"/>
          <w:numId w:val="14"/>
        </w:numPr>
        <w:jc w:val="both"/>
        <w:rPr>
          <w:i/>
          <w:color w:val="0B5484" w:themeColor="accent1" w:themeShade="80"/>
          <w:sz w:val="24"/>
          <w:szCs w:val="24"/>
          <w:lang w:val="it-IT"/>
        </w:rPr>
      </w:pPr>
      <w:r w:rsidRPr="005A5D6A">
        <w:rPr>
          <w:b/>
          <w:i/>
          <w:color w:val="0B5484" w:themeColor="accent1" w:themeShade="80"/>
          <w:sz w:val="24"/>
          <w:szCs w:val="24"/>
        </w:rPr>
        <w:t>Are there any trends across the cases in each country that suggest certain types of social policy and practice are more open to evidence synthesised by mini-publics than others</w:t>
      </w:r>
      <w:r w:rsidRPr="005A5D6A">
        <w:rPr>
          <w:i/>
          <w:color w:val="0B5484" w:themeColor="accent1" w:themeShade="80"/>
          <w:sz w:val="24"/>
          <w:szCs w:val="24"/>
        </w:rPr>
        <w:t>?</w:t>
      </w:r>
    </w:p>
    <w:p w:rsidR="00A676F7" w:rsidRPr="00A676F7" w:rsidRDefault="00372757" w:rsidP="00A676F7">
      <w:pPr>
        <w:jc w:val="both"/>
        <w:rPr>
          <w:sz w:val="24"/>
          <w:szCs w:val="24"/>
          <w:lang w:val="it-IT"/>
        </w:rPr>
      </w:pPr>
      <w:r>
        <w:rPr>
          <w:sz w:val="24"/>
          <w:szCs w:val="24"/>
          <w:lang w:val="it-IT"/>
        </w:rPr>
        <w:t>T</w:t>
      </w:r>
      <w:r w:rsidR="00A676F7" w:rsidRPr="00A676F7">
        <w:rPr>
          <w:sz w:val="24"/>
          <w:szCs w:val="24"/>
          <w:lang w:val="it-IT"/>
        </w:rPr>
        <w:t>here is no discernible pattern between certain mini-publics and particular policy areas, and it is also</w:t>
      </w:r>
      <w:r w:rsidR="005A5D6A">
        <w:rPr>
          <w:sz w:val="24"/>
          <w:szCs w:val="24"/>
          <w:lang w:val="it-IT"/>
        </w:rPr>
        <w:t xml:space="preserve"> not</w:t>
      </w:r>
      <w:r w:rsidR="00A676F7" w:rsidRPr="00A676F7">
        <w:rPr>
          <w:sz w:val="24"/>
          <w:szCs w:val="24"/>
          <w:lang w:val="it-IT"/>
        </w:rPr>
        <w:t xml:space="preserve"> clear whether certain policy areas are more open to evidence synthesised by mini-publics. </w:t>
      </w:r>
    </w:p>
    <w:p w:rsidR="00A676F7" w:rsidRPr="00A676F7" w:rsidRDefault="00A676F7" w:rsidP="00A676F7">
      <w:pPr>
        <w:jc w:val="both"/>
        <w:rPr>
          <w:sz w:val="24"/>
          <w:szCs w:val="24"/>
          <w:lang w:val="it-IT"/>
        </w:rPr>
      </w:pPr>
      <w:r w:rsidRPr="00A676F7">
        <w:rPr>
          <w:sz w:val="24"/>
          <w:szCs w:val="24"/>
          <w:lang w:val="it-IT"/>
        </w:rPr>
        <w:t xml:space="preserve">One mini public which did have a direct </w:t>
      </w:r>
      <w:r w:rsidR="00372757">
        <w:rPr>
          <w:sz w:val="24"/>
          <w:szCs w:val="24"/>
          <w:lang w:val="it-IT"/>
        </w:rPr>
        <w:t xml:space="preserve">opportunity to influence </w:t>
      </w:r>
      <w:r w:rsidRPr="00A676F7">
        <w:rPr>
          <w:sz w:val="24"/>
          <w:szCs w:val="24"/>
          <w:lang w:val="it-IT"/>
        </w:rPr>
        <w:t>social policy and practice was the citizens</w:t>
      </w:r>
      <w:r w:rsidR="00372757">
        <w:rPr>
          <w:sz w:val="24"/>
          <w:szCs w:val="24"/>
          <w:lang w:val="it-IT"/>
        </w:rPr>
        <w:t>’</w:t>
      </w:r>
      <w:r w:rsidRPr="00A676F7">
        <w:rPr>
          <w:sz w:val="24"/>
          <w:szCs w:val="24"/>
          <w:lang w:val="it-IT"/>
        </w:rPr>
        <w:t xml:space="preserve"> jury on genetic testing for common disorders. The recommendations formulated during the mini</w:t>
      </w:r>
      <w:r w:rsidR="00372757">
        <w:rPr>
          <w:sz w:val="24"/>
          <w:szCs w:val="24"/>
          <w:lang w:val="it-IT"/>
        </w:rPr>
        <w:t>-</w:t>
      </w:r>
      <w:r w:rsidRPr="00A676F7">
        <w:rPr>
          <w:sz w:val="24"/>
          <w:szCs w:val="24"/>
          <w:lang w:val="it-IT"/>
        </w:rPr>
        <w:t>public were captured into a report. Following the mini</w:t>
      </w:r>
      <w:r w:rsidR="00372757">
        <w:rPr>
          <w:sz w:val="24"/>
          <w:szCs w:val="24"/>
          <w:lang w:val="it-IT"/>
        </w:rPr>
        <w:t>-</w:t>
      </w:r>
      <w:r w:rsidRPr="00A676F7">
        <w:rPr>
          <w:sz w:val="24"/>
          <w:szCs w:val="24"/>
          <w:lang w:val="it-IT"/>
        </w:rPr>
        <w:t>public, five of the jurors met with the Human Genetics Advisory Committe to present their findings, and to answer questions from the Committee (Longley 2006). However, despite indicating an interest in the citizens</w:t>
      </w:r>
      <w:r w:rsidR="00372757">
        <w:rPr>
          <w:sz w:val="24"/>
          <w:szCs w:val="24"/>
          <w:lang w:val="it-IT"/>
        </w:rPr>
        <w:t>’</w:t>
      </w:r>
      <w:r w:rsidRPr="00A676F7">
        <w:rPr>
          <w:sz w:val="24"/>
          <w:szCs w:val="24"/>
          <w:lang w:val="it-IT"/>
        </w:rPr>
        <w:t xml:space="preserve"> jury, it is not clear what influence this meeting had on the Human Genetics Advisory Committee. </w:t>
      </w:r>
    </w:p>
    <w:p w:rsidR="00A676F7" w:rsidRDefault="00A676F7" w:rsidP="00A676F7">
      <w:pPr>
        <w:jc w:val="both"/>
        <w:rPr>
          <w:i/>
          <w:sz w:val="24"/>
          <w:szCs w:val="24"/>
          <w:lang w:val="it-IT"/>
        </w:rPr>
      </w:pPr>
    </w:p>
    <w:p w:rsidR="00A965E4" w:rsidRDefault="00A965E4" w:rsidP="00A676F7">
      <w:pPr>
        <w:jc w:val="both"/>
        <w:rPr>
          <w:i/>
          <w:sz w:val="24"/>
          <w:szCs w:val="24"/>
          <w:lang w:val="it-IT"/>
        </w:rPr>
      </w:pPr>
    </w:p>
    <w:p w:rsidR="00A965E4" w:rsidRDefault="00A965E4" w:rsidP="00A676F7">
      <w:pPr>
        <w:jc w:val="both"/>
        <w:rPr>
          <w:i/>
          <w:sz w:val="24"/>
          <w:szCs w:val="24"/>
          <w:lang w:val="it-IT"/>
        </w:rPr>
      </w:pPr>
    </w:p>
    <w:p w:rsidR="00A965E4" w:rsidRDefault="00A965E4" w:rsidP="00A676F7">
      <w:pPr>
        <w:jc w:val="both"/>
        <w:rPr>
          <w:i/>
          <w:sz w:val="24"/>
          <w:szCs w:val="24"/>
          <w:lang w:val="it-IT"/>
        </w:rPr>
      </w:pPr>
    </w:p>
    <w:p w:rsidR="00A965E4" w:rsidRDefault="00A965E4" w:rsidP="00A965E4">
      <w:pPr>
        <w:jc w:val="both"/>
        <w:rPr>
          <w:b/>
          <w:color w:val="0B5484" w:themeColor="accent1" w:themeShade="80"/>
          <w:sz w:val="24"/>
          <w:szCs w:val="24"/>
        </w:rPr>
      </w:pPr>
      <w:r w:rsidRPr="00C82A8C">
        <w:rPr>
          <w:b/>
          <w:bCs/>
          <w:color w:val="0B5484" w:themeColor="accent1" w:themeShade="80"/>
          <w:sz w:val="24"/>
          <w:szCs w:val="24"/>
        </w:rPr>
        <w:lastRenderedPageBreak/>
        <w:t xml:space="preserve">Table </w:t>
      </w:r>
      <w:r>
        <w:rPr>
          <w:b/>
          <w:bCs/>
          <w:color w:val="0B5484" w:themeColor="accent1" w:themeShade="80"/>
          <w:sz w:val="24"/>
          <w:szCs w:val="24"/>
        </w:rPr>
        <w:t>17:</w:t>
      </w:r>
      <w:r w:rsidRPr="00C82A8C">
        <w:rPr>
          <w:b/>
          <w:bCs/>
          <w:color w:val="0B5484" w:themeColor="accent1" w:themeShade="80"/>
          <w:sz w:val="24"/>
          <w:szCs w:val="24"/>
        </w:rPr>
        <w:t xml:space="preserve"> </w:t>
      </w:r>
      <w:r>
        <w:rPr>
          <w:b/>
          <w:bCs/>
          <w:color w:val="0B5484" w:themeColor="accent1" w:themeShade="80"/>
          <w:sz w:val="24"/>
          <w:szCs w:val="24"/>
        </w:rPr>
        <w:t xml:space="preserve">The </w:t>
      </w:r>
      <w:r>
        <w:rPr>
          <w:b/>
          <w:color w:val="0B5484" w:themeColor="accent1" w:themeShade="80"/>
          <w:sz w:val="24"/>
          <w:szCs w:val="24"/>
        </w:rPr>
        <w:t xml:space="preserve">United Kingdom: </w:t>
      </w:r>
      <w:r>
        <w:rPr>
          <w:b/>
          <w:bCs/>
          <w:color w:val="0B5484" w:themeColor="accent1" w:themeShade="80"/>
          <w:sz w:val="24"/>
          <w:szCs w:val="24"/>
        </w:rPr>
        <w:t>Impact in</w:t>
      </w:r>
      <w:r w:rsidRPr="00C82A8C">
        <w:rPr>
          <w:b/>
          <w:bCs/>
          <w:color w:val="0B5484" w:themeColor="accent1" w:themeShade="80"/>
          <w:sz w:val="24"/>
          <w:szCs w:val="24"/>
        </w:rPr>
        <w:t xml:space="preserve"> </w:t>
      </w:r>
      <w:r>
        <w:rPr>
          <w:b/>
          <w:color w:val="0B5484" w:themeColor="accent1" w:themeShade="80"/>
          <w:sz w:val="24"/>
          <w:szCs w:val="24"/>
        </w:rPr>
        <w:t xml:space="preserve">Mini-Public </w:t>
      </w:r>
      <w:r w:rsidRPr="00C82A8C">
        <w:rPr>
          <w:b/>
          <w:color w:val="0B5484" w:themeColor="accent1" w:themeShade="80"/>
          <w:sz w:val="24"/>
          <w:szCs w:val="24"/>
        </w:rPr>
        <w:t>Cases</w:t>
      </w:r>
    </w:p>
    <w:tbl>
      <w:tblPr>
        <w:tblStyle w:val="TableGrid"/>
        <w:tblW w:w="10774" w:type="dxa"/>
        <w:tblInd w:w="-998" w:type="dxa"/>
        <w:tblLook w:val="04A0" w:firstRow="1" w:lastRow="0" w:firstColumn="1" w:lastColumn="0" w:noHBand="0" w:noVBand="1"/>
      </w:tblPr>
      <w:tblGrid>
        <w:gridCol w:w="510"/>
        <w:gridCol w:w="3546"/>
        <w:gridCol w:w="1502"/>
        <w:gridCol w:w="2665"/>
        <w:gridCol w:w="2551"/>
      </w:tblGrid>
      <w:tr w:rsidR="00D9500A" w:rsidTr="00587091">
        <w:tc>
          <w:tcPr>
            <w:tcW w:w="510" w:type="dxa"/>
            <w:shd w:val="clear" w:color="auto" w:fill="FFFFFF" w:themeFill="background1"/>
          </w:tcPr>
          <w:p w:rsidR="00D9500A" w:rsidRPr="00C4576A" w:rsidRDefault="00D9500A" w:rsidP="00587091">
            <w:pPr>
              <w:rPr>
                <w:rFonts w:cstheme="minorHAnsi"/>
                <w:i/>
                <w:color w:val="0B5484" w:themeColor="accent1" w:themeShade="80"/>
                <w:sz w:val="20"/>
                <w:szCs w:val="20"/>
              </w:rPr>
            </w:pPr>
            <w:r w:rsidRPr="00C4576A">
              <w:rPr>
                <w:rFonts w:cstheme="minorHAnsi"/>
                <w:b/>
                <w:i/>
                <w:color w:val="0B5484" w:themeColor="accent1" w:themeShade="80"/>
                <w:sz w:val="20"/>
                <w:szCs w:val="20"/>
              </w:rPr>
              <w:t>No.</w:t>
            </w:r>
          </w:p>
        </w:tc>
        <w:tc>
          <w:tcPr>
            <w:tcW w:w="35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500A" w:rsidRPr="00C4576A" w:rsidRDefault="00D9500A" w:rsidP="00587091">
            <w:pPr>
              <w:rPr>
                <w:rFonts w:cstheme="minorHAnsi"/>
                <w:b/>
                <w:bCs/>
                <w:i/>
                <w:color w:val="0B5484" w:themeColor="accent1" w:themeShade="80"/>
                <w:sz w:val="20"/>
                <w:szCs w:val="20"/>
              </w:rPr>
            </w:pPr>
            <w:r w:rsidRPr="00C4576A">
              <w:rPr>
                <w:rFonts w:cstheme="minorHAnsi"/>
                <w:b/>
                <w:bCs/>
                <w:i/>
                <w:color w:val="0B5484" w:themeColor="accent1" w:themeShade="80"/>
                <w:sz w:val="20"/>
                <w:szCs w:val="20"/>
              </w:rPr>
              <w:t>Influence of evidence on participants</w:t>
            </w:r>
          </w:p>
        </w:tc>
        <w:tc>
          <w:tcPr>
            <w:tcW w:w="1502" w:type="dxa"/>
            <w:tcBorders>
              <w:top w:val="single" w:sz="4" w:space="0" w:color="auto"/>
              <w:left w:val="nil"/>
              <w:bottom w:val="single" w:sz="4" w:space="0" w:color="auto"/>
              <w:right w:val="single" w:sz="4" w:space="0" w:color="auto"/>
            </w:tcBorders>
            <w:shd w:val="clear" w:color="auto" w:fill="FFFFFF" w:themeFill="background1"/>
            <w:vAlign w:val="center"/>
          </w:tcPr>
          <w:p w:rsidR="00D9500A" w:rsidRPr="00C4576A" w:rsidRDefault="00D9500A" w:rsidP="00587091">
            <w:pPr>
              <w:rPr>
                <w:rFonts w:cstheme="minorHAnsi"/>
                <w:b/>
                <w:bCs/>
                <w:i/>
                <w:color w:val="0B5484" w:themeColor="accent1" w:themeShade="80"/>
                <w:sz w:val="20"/>
                <w:szCs w:val="20"/>
              </w:rPr>
            </w:pPr>
            <w:r w:rsidRPr="00C4576A">
              <w:rPr>
                <w:rFonts w:cstheme="minorHAnsi"/>
                <w:b/>
                <w:bCs/>
                <w:i/>
                <w:color w:val="0B5484" w:themeColor="accent1" w:themeShade="80"/>
                <w:sz w:val="20"/>
                <w:szCs w:val="20"/>
              </w:rPr>
              <w:t xml:space="preserve">Policy area </w:t>
            </w:r>
          </w:p>
        </w:tc>
        <w:tc>
          <w:tcPr>
            <w:tcW w:w="2665" w:type="dxa"/>
            <w:tcBorders>
              <w:top w:val="single" w:sz="4" w:space="0" w:color="auto"/>
              <w:left w:val="nil"/>
              <w:bottom w:val="single" w:sz="4" w:space="0" w:color="auto"/>
              <w:right w:val="single" w:sz="4" w:space="0" w:color="auto"/>
            </w:tcBorders>
            <w:shd w:val="clear" w:color="auto" w:fill="FFFFFF" w:themeFill="background1"/>
            <w:vAlign w:val="center"/>
          </w:tcPr>
          <w:p w:rsidR="00D9500A" w:rsidRPr="00C4576A" w:rsidRDefault="00D9500A" w:rsidP="00587091">
            <w:pPr>
              <w:rPr>
                <w:rFonts w:cstheme="minorHAnsi"/>
                <w:b/>
                <w:bCs/>
                <w:i/>
                <w:color w:val="0B5484" w:themeColor="accent1" w:themeShade="80"/>
                <w:sz w:val="20"/>
                <w:szCs w:val="20"/>
              </w:rPr>
            </w:pPr>
            <w:r w:rsidRPr="00C4576A">
              <w:rPr>
                <w:rFonts w:cstheme="minorHAnsi"/>
                <w:b/>
                <w:bCs/>
                <w:i/>
                <w:color w:val="0B5484" w:themeColor="accent1" w:themeShade="80"/>
                <w:sz w:val="20"/>
                <w:szCs w:val="20"/>
              </w:rPr>
              <w:t>Extent of policy/ practice influence</w:t>
            </w:r>
          </w:p>
        </w:tc>
        <w:tc>
          <w:tcPr>
            <w:tcW w:w="2551" w:type="dxa"/>
            <w:tcBorders>
              <w:top w:val="single" w:sz="4" w:space="0" w:color="auto"/>
              <w:left w:val="nil"/>
              <w:bottom w:val="single" w:sz="4" w:space="0" w:color="auto"/>
              <w:right w:val="single" w:sz="4" w:space="0" w:color="auto"/>
            </w:tcBorders>
            <w:shd w:val="clear" w:color="auto" w:fill="FFFFFF" w:themeFill="background1"/>
            <w:vAlign w:val="center"/>
          </w:tcPr>
          <w:p w:rsidR="00D9500A" w:rsidRPr="00C4576A" w:rsidRDefault="00D9500A" w:rsidP="00587091">
            <w:pPr>
              <w:rPr>
                <w:rFonts w:cstheme="minorHAnsi"/>
                <w:b/>
                <w:bCs/>
                <w:i/>
                <w:color w:val="0B5484" w:themeColor="accent1" w:themeShade="80"/>
                <w:sz w:val="20"/>
                <w:szCs w:val="20"/>
              </w:rPr>
            </w:pPr>
            <w:r w:rsidRPr="00C4576A">
              <w:rPr>
                <w:rFonts w:cstheme="minorHAnsi"/>
                <w:b/>
                <w:bCs/>
                <w:i/>
                <w:color w:val="0B5484" w:themeColor="accent1" w:themeShade="80"/>
                <w:sz w:val="20"/>
                <w:szCs w:val="20"/>
              </w:rPr>
              <w:t>Key references</w:t>
            </w:r>
          </w:p>
        </w:tc>
      </w:tr>
      <w:tr w:rsidR="00D9500A" w:rsidTr="00587091">
        <w:tc>
          <w:tcPr>
            <w:tcW w:w="510" w:type="dxa"/>
            <w:shd w:val="clear" w:color="auto" w:fill="ABD9F8" w:themeFill="accent1" w:themeFillTint="66"/>
            <w:vAlign w:val="center"/>
          </w:tcPr>
          <w:p w:rsidR="00D9500A" w:rsidRPr="00A55C6F" w:rsidRDefault="00D9500A" w:rsidP="00587091">
            <w:pPr>
              <w:rPr>
                <w:rFonts w:cstheme="minorHAnsi"/>
                <w:b/>
                <w:i/>
                <w:sz w:val="20"/>
                <w:szCs w:val="20"/>
              </w:rPr>
            </w:pPr>
            <w:r w:rsidRPr="00A55C6F">
              <w:rPr>
                <w:rFonts w:cstheme="minorHAnsi"/>
                <w:b/>
                <w:i/>
                <w:sz w:val="20"/>
                <w:szCs w:val="20"/>
              </w:rPr>
              <w:t>38</w:t>
            </w:r>
          </w:p>
        </w:tc>
        <w:tc>
          <w:tcPr>
            <w:tcW w:w="3546" w:type="dxa"/>
            <w:tcBorders>
              <w:top w:val="single" w:sz="4" w:space="0" w:color="auto"/>
              <w:left w:val="single" w:sz="4" w:space="0" w:color="auto"/>
              <w:bottom w:val="single" w:sz="4" w:space="0" w:color="auto"/>
              <w:right w:val="single" w:sz="4" w:space="0" w:color="auto"/>
            </w:tcBorders>
            <w:shd w:val="clear" w:color="auto" w:fill="ABD9F8" w:themeFill="accent1" w:themeFillTint="66"/>
            <w:vAlign w:val="center"/>
          </w:tcPr>
          <w:p w:rsidR="00D9500A" w:rsidRPr="00240F47" w:rsidRDefault="00D9500A" w:rsidP="00587091">
            <w:pPr>
              <w:rPr>
                <w:rFonts w:ascii="Calibri" w:hAnsi="Calibri" w:cs="Calibri"/>
                <w:sz w:val="20"/>
                <w:szCs w:val="20"/>
              </w:rPr>
            </w:pPr>
            <w:r w:rsidRPr="00240F47">
              <w:rPr>
                <w:rFonts w:ascii="Calibri" w:hAnsi="Calibri" w:cs="Calibri"/>
                <w:sz w:val="20"/>
                <w:szCs w:val="20"/>
              </w:rPr>
              <w:t>Extensive influence</w:t>
            </w:r>
          </w:p>
        </w:tc>
        <w:tc>
          <w:tcPr>
            <w:tcW w:w="1502" w:type="dxa"/>
            <w:tcBorders>
              <w:top w:val="single" w:sz="4" w:space="0" w:color="auto"/>
              <w:left w:val="nil"/>
              <w:bottom w:val="single" w:sz="4" w:space="0" w:color="auto"/>
              <w:right w:val="single" w:sz="4" w:space="0" w:color="auto"/>
            </w:tcBorders>
            <w:shd w:val="clear" w:color="auto" w:fill="ABD9F8" w:themeFill="accent1" w:themeFillTint="66"/>
            <w:vAlign w:val="center"/>
          </w:tcPr>
          <w:p w:rsidR="00D9500A" w:rsidRPr="00240F47" w:rsidRDefault="00D9500A" w:rsidP="00587091">
            <w:pPr>
              <w:rPr>
                <w:rFonts w:ascii="Calibri" w:hAnsi="Calibri" w:cs="Calibri"/>
                <w:sz w:val="20"/>
                <w:szCs w:val="20"/>
              </w:rPr>
            </w:pPr>
            <w:r w:rsidRPr="00240F47">
              <w:rPr>
                <w:rFonts w:ascii="Calibri" w:hAnsi="Calibri" w:cs="Calibri"/>
                <w:sz w:val="20"/>
                <w:szCs w:val="20"/>
              </w:rPr>
              <w:t>Various</w:t>
            </w:r>
          </w:p>
        </w:tc>
        <w:tc>
          <w:tcPr>
            <w:tcW w:w="2665" w:type="dxa"/>
            <w:tcBorders>
              <w:top w:val="single" w:sz="4" w:space="0" w:color="auto"/>
              <w:left w:val="nil"/>
              <w:bottom w:val="single" w:sz="4" w:space="0" w:color="auto"/>
              <w:right w:val="single" w:sz="4" w:space="0" w:color="auto"/>
            </w:tcBorders>
            <w:shd w:val="clear" w:color="auto" w:fill="ABD9F8" w:themeFill="accent1" w:themeFillTint="66"/>
            <w:vAlign w:val="center"/>
          </w:tcPr>
          <w:p w:rsidR="00D9500A" w:rsidRPr="00240F47" w:rsidRDefault="00D9500A" w:rsidP="00587091">
            <w:pPr>
              <w:rPr>
                <w:rFonts w:ascii="Calibri" w:hAnsi="Calibri" w:cs="Calibri"/>
                <w:sz w:val="20"/>
                <w:szCs w:val="20"/>
              </w:rPr>
            </w:pPr>
            <w:r w:rsidRPr="00240F47">
              <w:rPr>
                <w:rFonts w:ascii="Calibri" w:hAnsi="Calibri" w:cs="Calibri"/>
                <w:sz w:val="20"/>
                <w:szCs w:val="20"/>
              </w:rPr>
              <w:t>Influence on policy/ practice debate</w:t>
            </w:r>
          </w:p>
        </w:tc>
        <w:tc>
          <w:tcPr>
            <w:tcW w:w="2551" w:type="dxa"/>
            <w:tcBorders>
              <w:top w:val="single" w:sz="4" w:space="0" w:color="auto"/>
              <w:left w:val="single" w:sz="4" w:space="0" w:color="auto"/>
              <w:bottom w:val="single" w:sz="4" w:space="0" w:color="auto"/>
              <w:right w:val="single" w:sz="4" w:space="0" w:color="auto"/>
            </w:tcBorders>
            <w:shd w:val="clear" w:color="auto" w:fill="ABD9F8" w:themeFill="accent1" w:themeFillTint="66"/>
            <w:vAlign w:val="center"/>
          </w:tcPr>
          <w:p w:rsidR="00D9500A" w:rsidRPr="00240F47" w:rsidRDefault="00D9500A" w:rsidP="00587091">
            <w:pPr>
              <w:rPr>
                <w:rFonts w:ascii="Calibri" w:hAnsi="Calibri" w:cs="Calibri"/>
                <w:sz w:val="20"/>
                <w:szCs w:val="20"/>
              </w:rPr>
            </w:pPr>
            <w:proofErr w:type="spellStart"/>
            <w:r>
              <w:rPr>
                <w:rFonts w:ascii="Calibri" w:hAnsi="Calibri" w:cs="Calibri"/>
                <w:sz w:val="20"/>
                <w:szCs w:val="20"/>
              </w:rPr>
              <w:t>Hargreave</w:t>
            </w:r>
            <w:proofErr w:type="spellEnd"/>
            <w:r>
              <w:rPr>
                <w:rFonts w:ascii="Calibri" w:hAnsi="Calibri" w:cs="Calibri"/>
                <w:sz w:val="20"/>
                <w:szCs w:val="20"/>
              </w:rPr>
              <w:t xml:space="preserve"> (2018); Renwick et al. (2018)</w:t>
            </w:r>
          </w:p>
        </w:tc>
      </w:tr>
      <w:tr w:rsidR="00D9500A" w:rsidTr="00587091">
        <w:tc>
          <w:tcPr>
            <w:tcW w:w="510" w:type="dxa"/>
            <w:vAlign w:val="center"/>
          </w:tcPr>
          <w:p w:rsidR="00D9500A" w:rsidRPr="00A55C6F" w:rsidRDefault="00D9500A" w:rsidP="00587091">
            <w:pPr>
              <w:rPr>
                <w:rFonts w:cstheme="minorHAnsi"/>
                <w:b/>
                <w:i/>
                <w:sz w:val="20"/>
                <w:szCs w:val="20"/>
              </w:rPr>
            </w:pPr>
            <w:r w:rsidRPr="00A55C6F">
              <w:rPr>
                <w:rFonts w:cstheme="minorHAnsi"/>
                <w:b/>
                <w:i/>
                <w:sz w:val="20"/>
                <w:szCs w:val="20"/>
              </w:rPr>
              <w:t>39</w:t>
            </w:r>
          </w:p>
        </w:tc>
        <w:tc>
          <w:tcPr>
            <w:tcW w:w="3546" w:type="dxa"/>
            <w:tcBorders>
              <w:top w:val="nil"/>
              <w:left w:val="single" w:sz="4" w:space="0" w:color="auto"/>
              <w:bottom w:val="single" w:sz="4" w:space="0" w:color="auto"/>
              <w:right w:val="single" w:sz="4" w:space="0" w:color="auto"/>
            </w:tcBorders>
            <w:shd w:val="clear" w:color="auto" w:fill="auto"/>
            <w:vAlign w:val="center"/>
          </w:tcPr>
          <w:p w:rsidR="00D9500A" w:rsidRPr="00240F47" w:rsidRDefault="00D9500A" w:rsidP="00587091">
            <w:pPr>
              <w:rPr>
                <w:rFonts w:ascii="Calibri" w:hAnsi="Calibri" w:cs="Calibri"/>
                <w:sz w:val="20"/>
                <w:szCs w:val="20"/>
              </w:rPr>
            </w:pPr>
            <w:r w:rsidRPr="00240F47">
              <w:rPr>
                <w:rFonts w:ascii="Calibri" w:hAnsi="Calibri" w:cs="Calibri"/>
                <w:sz w:val="20"/>
                <w:szCs w:val="20"/>
              </w:rPr>
              <w:t>Don't know</w:t>
            </w:r>
          </w:p>
        </w:tc>
        <w:tc>
          <w:tcPr>
            <w:tcW w:w="1502" w:type="dxa"/>
            <w:tcBorders>
              <w:top w:val="nil"/>
              <w:left w:val="nil"/>
              <w:bottom w:val="single" w:sz="4" w:space="0" w:color="auto"/>
              <w:right w:val="single" w:sz="4" w:space="0" w:color="auto"/>
            </w:tcBorders>
            <w:shd w:val="clear" w:color="auto" w:fill="auto"/>
            <w:vAlign w:val="center"/>
          </w:tcPr>
          <w:p w:rsidR="00D9500A" w:rsidRPr="00240F47" w:rsidRDefault="00D9500A" w:rsidP="00587091">
            <w:pPr>
              <w:rPr>
                <w:rFonts w:ascii="Calibri" w:hAnsi="Calibri" w:cs="Calibri"/>
                <w:sz w:val="20"/>
                <w:szCs w:val="20"/>
              </w:rPr>
            </w:pPr>
            <w:r w:rsidRPr="00240F47">
              <w:rPr>
                <w:rFonts w:ascii="Calibri" w:hAnsi="Calibri" w:cs="Calibri"/>
                <w:sz w:val="20"/>
                <w:szCs w:val="20"/>
              </w:rPr>
              <w:t>Health</w:t>
            </w:r>
          </w:p>
        </w:tc>
        <w:tc>
          <w:tcPr>
            <w:tcW w:w="2665" w:type="dxa"/>
            <w:tcBorders>
              <w:top w:val="nil"/>
              <w:left w:val="nil"/>
              <w:bottom w:val="single" w:sz="4" w:space="0" w:color="auto"/>
              <w:right w:val="single" w:sz="4" w:space="0" w:color="auto"/>
            </w:tcBorders>
            <w:shd w:val="clear" w:color="auto" w:fill="auto"/>
            <w:vAlign w:val="center"/>
          </w:tcPr>
          <w:p w:rsidR="00D9500A" w:rsidRPr="00240F47" w:rsidRDefault="00D9500A" w:rsidP="00587091">
            <w:pPr>
              <w:rPr>
                <w:rFonts w:ascii="Calibri" w:hAnsi="Calibri" w:cs="Calibri"/>
                <w:sz w:val="20"/>
                <w:szCs w:val="20"/>
              </w:rPr>
            </w:pPr>
            <w:r w:rsidRPr="00240F47">
              <w:rPr>
                <w:rFonts w:ascii="Calibri" w:hAnsi="Calibri" w:cs="Calibri"/>
                <w:sz w:val="20"/>
                <w:szCs w:val="20"/>
              </w:rPr>
              <w:t>Don't know</w:t>
            </w:r>
          </w:p>
        </w:tc>
        <w:tc>
          <w:tcPr>
            <w:tcW w:w="2551" w:type="dxa"/>
            <w:tcBorders>
              <w:top w:val="nil"/>
              <w:left w:val="single" w:sz="4" w:space="0" w:color="auto"/>
              <w:bottom w:val="single" w:sz="4" w:space="0" w:color="auto"/>
              <w:right w:val="single" w:sz="4" w:space="0" w:color="auto"/>
            </w:tcBorders>
            <w:shd w:val="clear" w:color="auto" w:fill="auto"/>
            <w:vAlign w:val="center"/>
          </w:tcPr>
          <w:p w:rsidR="00D9500A" w:rsidRPr="00240F47" w:rsidRDefault="00D9500A" w:rsidP="00587091">
            <w:pPr>
              <w:rPr>
                <w:rFonts w:ascii="Calibri" w:hAnsi="Calibri" w:cs="Calibri"/>
                <w:sz w:val="20"/>
                <w:szCs w:val="20"/>
              </w:rPr>
            </w:pPr>
            <w:r>
              <w:rPr>
                <w:rFonts w:ascii="Calibri" w:hAnsi="Calibri" w:cs="Calibri"/>
                <w:sz w:val="20"/>
                <w:szCs w:val="20"/>
              </w:rPr>
              <w:t xml:space="preserve">Christie (2012); Lip &amp; Ramsay </w:t>
            </w:r>
            <w:r w:rsidRPr="00240F47">
              <w:rPr>
                <w:rFonts w:ascii="Calibri" w:hAnsi="Calibri" w:cs="Calibri"/>
                <w:sz w:val="20"/>
                <w:szCs w:val="20"/>
              </w:rPr>
              <w:t>(2014)</w:t>
            </w:r>
          </w:p>
        </w:tc>
      </w:tr>
      <w:tr w:rsidR="00D9500A" w:rsidTr="00587091">
        <w:tc>
          <w:tcPr>
            <w:tcW w:w="510" w:type="dxa"/>
            <w:shd w:val="clear" w:color="auto" w:fill="ABD9F8" w:themeFill="accent1" w:themeFillTint="66"/>
            <w:vAlign w:val="center"/>
          </w:tcPr>
          <w:p w:rsidR="00D9500A" w:rsidRPr="00A55C6F" w:rsidRDefault="00D9500A" w:rsidP="00587091">
            <w:pPr>
              <w:rPr>
                <w:rFonts w:cstheme="minorHAnsi"/>
                <w:b/>
                <w:i/>
                <w:sz w:val="20"/>
                <w:szCs w:val="20"/>
              </w:rPr>
            </w:pPr>
            <w:r w:rsidRPr="00A55C6F">
              <w:rPr>
                <w:rFonts w:cstheme="minorHAnsi"/>
                <w:b/>
                <w:i/>
                <w:sz w:val="20"/>
                <w:szCs w:val="20"/>
              </w:rPr>
              <w:t>40</w:t>
            </w:r>
          </w:p>
        </w:tc>
        <w:tc>
          <w:tcPr>
            <w:tcW w:w="3546" w:type="dxa"/>
            <w:tcBorders>
              <w:top w:val="nil"/>
              <w:left w:val="single" w:sz="4" w:space="0" w:color="auto"/>
              <w:bottom w:val="single" w:sz="4" w:space="0" w:color="auto"/>
              <w:right w:val="single" w:sz="4" w:space="0" w:color="auto"/>
            </w:tcBorders>
            <w:shd w:val="clear" w:color="auto" w:fill="ABD9F8" w:themeFill="accent1" w:themeFillTint="66"/>
            <w:vAlign w:val="center"/>
          </w:tcPr>
          <w:p w:rsidR="00D9500A" w:rsidRPr="00240F47" w:rsidRDefault="00D9500A" w:rsidP="00587091">
            <w:pPr>
              <w:rPr>
                <w:rFonts w:ascii="Calibri" w:hAnsi="Calibri" w:cs="Calibri"/>
                <w:sz w:val="20"/>
                <w:szCs w:val="20"/>
              </w:rPr>
            </w:pPr>
            <w:r w:rsidRPr="00240F47">
              <w:rPr>
                <w:rFonts w:ascii="Calibri" w:hAnsi="Calibri" w:cs="Calibri"/>
                <w:sz w:val="20"/>
                <w:szCs w:val="20"/>
              </w:rPr>
              <w:t>Don't know</w:t>
            </w:r>
          </w:p>
        </w:tc>
        <w:tc>
          <w:tcPr>
            <w:tcW w:w="1502" w:type="dxa"/>
            <w:tcBorders>
              <w:top w:val="nil"/>
              <w:left w:val="nil"/>
              <w:bottom w:val="single" w:sz="4" w:space="0" w:color="auto"/>
              <w:right w:val="single" w:sz="4" w:space="0" w:color="auto"/>
            </w:tcBorders>
            <w:shd w:val="clear" w:color="auto" w:fill="ABD9F8" w:themeFill="accent1" w:themeFillTint="66"/>
            <w:vAlign w:val="center"/>
          </w:tcPr>
          <w:p w:rsidR="00D9500A" w:rsidRPr="00240F47" w:rsidRDefault="00D9500A" w:rsidP="00587091">
            <w:pPr>
              <w:rPr>
                <w:rFonts w:ascii="Calibri" w:hAnsi="Calibri" w:cs="Calibri"/>
                <w:sz w:val="20"/>
                <w:szCs w:val="20"/>
              </w:rPr>
            </w:pPr>
            <w:r w:rsidRPr="00240F47">
              <w:rPr>
                <w:rFonts w:ascii="Calibri" w:hAnsi="Calibri" w:cs="Calibri"/>
                <w:sz w:val="20"/>
                <w:szCs w:val="20"/>
              </w:rPr>
              <w:t>Health</w:t>
            </w:r>
          </w:p>
        </w:tc>
        <w:tc>
          <w:tcPr>
            <w:tcW w:w="2665" w:type="dxa"/>
            <w:tcBorders>
              <w:top w:val="nil"/>
              <w:left w:val="nil"/>
              <w:bottom w:val="single" w:sz="4" w:space="0" w:color="auto"/>
              <w:right w:val="single" w:sz="4" w:space="0" w:color="auto"/>
            </w:tcBorders>
            <w:shd w:val="clear" w:color="auto" w:fill="ABD9F8" w:themeFill="accent1" w:themeFillTint="66"/>
            <w:vAlign w:val="center"/>
          </w:tcPr>
          <w:p w:rsidR="00D9500A" w:rsidRPr="00240F47" w:rsidRDefault="00D9500A" w:rsidP="00587091">
            <w:pPr>
              <w:rPr>
                <w:rFonts w:ascii="Calibri" w:hAnsi="Calibri" w:cs="Calibri"/>
                <w:sz w:val="20"/>
                <w:szCs w:val="20"/>
              </w:rPr>
            </w:pPr>
            <w:r w:rsidRPr="00240F47">
              <w:rPr>
                <w:rFonts w:ascii="Calibri" w:hAnsi="Calibri" w:cs="Calibri"/>
                <w:sz w:val="20"/>
                <w:szCs w:val="20"/>
              </w:rPr>
              <w:t>Don't know</w:t>
            </w:r>
          </w:p>
        </w:tc>
        <w:tc>
          <w:tcPr>
            <w:tcW w:w="2551" w:type="dxa"/>
            <w:tcBorders>
              <w:top w:val="nil"/>
              <w:left w:val="single" w:sz="4" w:space="0" w:color="auto"/>
              <w:bottom w:val="single" w:sz="4" w:space="0" w:color="auto"/>
              <w:right w:val="single" w:sz="4" w:space="0" w:color="auto"/>
            </w:tcBorders>
            <w:shd w:val="clear" w:color="auto" w:fill="ABD9F8" w:themeFill="accent1" w:themeFillTint="66"/>
            <w:vAlign w:val="center"/>
          </w:tcPr>
          <w:p w:rsidR="00D9500A" w:rsidRPr="00240F47" w:rsidRDefault="00D9500A" w:rsidP="00587091">
            <w:pPr>
              <w:rPr>
                <w:rFonts w:ascii="Calibri" w:hAnsi="Calibri" w:cs="Calibri"/>
                <w:sz w:val="20"/>
                <w:szCs w:val="20"/>
              </w:rPr>
            </w:pPr>
            <w:r>
              <w:rPr>
                <w:rFonts w:ascii="Calibri" w:hAnsi="Calibri" w:cs="Calibri"/>
                <w:sz w:val="20"/>
                <w:szCs w:val="20"/>
              </w:rPr>
              <w:t>Webster et al. (2017)</w:t>
            </w:r>
          </w:p>
        </w:tc>
      </w:tr>
      <w:tr w:rsidR="00D9500A" w:rsidTr="00587091">
        <w:tc>
          <w:tcPr>
            <w:tcW w:w="510" w:type="dxa"/>
            <w:vAlign w:val="center"/>
          </w:tcPr>
          <w:p w:rsidR="00D9500A" w:rsidRPr="00A55C6F" w:rsidRDefault="00D9500A" w:rsidP="00587091">
            <w:pPr>
              <w:rPr>
                <w:rFonts w:cstheme="minorHAnsi"/>
                <w:b/>
                <w:i/>
                <w:sz w:val="20"/>
                <w:szCs w:val="20"/>
              </w:rPr>
            </w:pPr>
            <w:r w:rsidRPr="00A55C6F">
              <w:rPr>
                <w:rFonts w:cstheme="minorHAnsi"/>
                <w:b/>
                <w:i/>
                <w:sz w:val="20"/>
                <w:szCs w:val="20"/>
              </w:rPr>
              <w:t>41</w:t>
            </w:r>
          </w:p>
        </w:tc>
        <w:tc>
          <w:tcPr>
            <w:tcW w:w="3546" w:type="dxa"/>
            <w:tcBorders>
              <w:top w:val="nil"/>
              <w:left w:val="single" w:sz="4" w:space="0" w:color="auto"/>
              <w:bottom w:val="single" w:sz="4" w:space="0" w:color="auto"/>
              <w:right w:val="single" w:sz="4" w:space="0" w:color="auto"/>
            </w:tcBorders>
            <w:shd w:val="clear" w:color="auto" w:fill="auto"/>
            <w:vAlign w:val="center"/>
          </w:tcPr>
          <w:p w:rsidR="00D9500A" w:rsidRPr="00240F47" w:rsidRDefault="00D9500A" w:rsidP="00587091">
            <w:pPr>
              <w:rPr>
                <w:rFonts w:ascii="Calibri" w:hAnsi="Calibri" w:cs="Calibri"/>
                <w:sz w:val="20"/>
                <w:szCs w:val="20"/>
              </w:rPr>
            </w:pPr>
            <w:r w:rsidRPr="00240F47">
              <w:rPr>
                <w:rFonts w:ascii="Calibri" w:hAnsi="Calibri" w:cs="Calibri"/>
                <w:sz w:val="20"/>
                <w:szCs w:val="20"/>
              </w:rPr>
              <w:t>Extensive influence</w:t>
            </w:r>
          </w:p>
        </w:tc>
        <w:tc>
          <w:tcPr>
            <w:tcW w:w="1502" w:type="dxa"/>
            <w:tcBorders>
              <w:top w:val="nil"/>
              <w:left w:val="nil"/>
              <w:bottom w:val="single" w:sz="4" w:space="0" w:color="auto"/>
              <w:right w:val="single" w:sz="4" w:space="0" w:color="auto"/>
            </w:tcBorders>
            <w:shd w:val="clear" w:color="auto" w:fill="auto"/>
            <w:vAlign w:val="center"/>
          </w:tcPr>
          <w:p w:rsidR="00D9500A" w:rsidRPr="00240F47" w:rsidRDefault="00D9500A" w:rsidP="00587091">
            <w:pPr>
              <w:rPr>
                <w:rFonts w:ascii="Calibri" w:hAnsi="Calibri" w:cs="Calibri"/>
                <w:sz w:val="20"/>
                <w:szCs w:val="20"/>
              </w:rPr>
            </w:pPr>
            <w:r w:rsidRPr="00240F47">
              <w:rPr>
                <w:rFonts w:ascii="Calibri" w:hAnsi="Calibri" w:cs="Calibri"/>
                <w:sz w:val="20"/>
                <w:szCs w:val="20"/>
              </w:rPr>
              <w:t>Health</w:t>
            </w:r>
          </w:p>
        </w:tc>
        <w:tc>
          <w:tcPr>
            <w:tcW w:w="2665" w:type="dxa"/>
            <w:tcBorders>
              <w:top w:val="nil"/>
              <w:left w:val="nil"/>
              <w:bottom w:val="single" w:sz="4" w:space="0" w:color="auto"/>
              <w:right w:val="single" w:sz="4" w:space="0" w:color="auto"/>
            </w:tcBorders>
            <w:shd w:val="clear" w:color="auto" w:fill="auto"/>
            <w:vAlign w:val="center"/>
          </w:tcPr>
          <w:p w:rsidR="00D9500A" w:rsidRPr="00240F47" w:rsidRDefault="00D9500A" w:rsidP="00587091">
            <w:pPr>
              <w:rPr>
                <w:rFonts w:ascii="Calibri" w:hAnsi="Calibri" w:cs="Calibri"/>
                <w:sz w:val="20"/>
                <w:szCs w:val="20"/>
              </w:rPr>
            </w:pPr>
            <w:r w:rsidRPr="00240F47">
              <w:rPr>
                <w:rFonts w:ascii="Calibri" w:hAnsi="Calibri" w:cs="Calibri"/>
                <w:sz w:val="20"/>
                <w:szCs w:val="20"/>
              </w:rPr>
              <w:t>No influence</w:t>
            </w:r>
          </w:p>
        </w:tc>
        <w:tc>
          <w:tcPr>
            <w:tcW w:w="2551" w:type="dxa"/>
            <w:tcBorders>
              <w:top w:val="nil"/>
              <w:left w:val="single" w:sz="4" w:space="0" w:color="auto"/>
              <w:bottom w:val="single" w:sz="4" w:space="0" w:color="auto"/>
              <w:right w:val="single" w:sz="4" w:space="0" w:color="auto"/>
            </w:tcBorders>
            <w:shd w:val="clear" w:color="auto" w:fill="auto"/>
            <w:vAlign w:val="center"/>
          </w:tcPr>
          <w:p w:rsidR="00D9500A" w:rsidRPr="00240F47" w:rsidRDefault="00D9500A" w:rsidP="00587091">
            <w:pPr>
              <w:rPr>
                <w:rFonts w:ascii="Calibri" w:hAnsi="Calibri" w:cs="Calibri"/>
                <w:sz w:val="20"/>
                <w:szCs w:val="20"/>
              </w:rPr>
            </w:pPr>
            <w:proofErr w:type="spellStart"/>
            <w:r>
              <w:rPr>
                <w:rFonts w:ascii="Calibri" w:hAnsi="Calibri" w:cs="Calibri"/>
                <w:sz w:val="20"/>
                <w:szCs w:val="20"/>
              </w:rPr>
              <w:t>Fishkin</w:t>
            </w:r>
            <w:proofErr w:type="spellEnd"/>
            <w:r>
              <w:rPr>
                <w:rFonts w:ascii="Calibri" w:hAnsi="Calibri" w:cs="Calibri"/>
                <w:sz w:val="20"/>
                <w:szCs w:val="20"/>
              </w:rPr>
              <w:t xml:space="preserve"> &amp; Luskin (2006)</w:t>
            </w:r>
          </w:p>
        </w:tc>
      </w:tr>
      <w:tr w:rsidR="00D9500A" w:rsidTr="00587091">
        <w:tc>
          <w:tcPr>
            <w:tcW w:w="510" w:type="dxa"/>
            <w:shd w:val="clear" w:color="auto" w:fill="ABD9F8" w:themeFill="accent1" w:themeFillTint="66"/>
            <w:vAlign w:val="center"/>
          </w:tcPr>
          <w:p w:rsidR="00D9500A" w:rsidRPr="00A55C6F" w:rsidRDefault="00D9500A" w:rsidP="00587091">
            <w:pPr>
              <w:rPr>
                <w:rFonts w:cstheme="minorHAnsi"/>
                <w:b/>
                <w:i/>
                <w:sz w:val="20"/>
                <w:szCs w:val="20"/>
              </w:rPr>
            </w:pPr>
            <w:r w:rsidRPr="00A55C6F">
              <w:rPr>
                <w:rFonts w:cstheme="minorHAnsi"/>
                <w:b/>
                <w:i/>
                <w:sz w:val="20"/>
                <w:szCs w:val="20"/>
              </w:rPr>
              <w:t>42</w:t>
            </w:r>
          </w:p>
        </w:tc>
        <w:tc>
          <w:tcPr>
            <w:tcW w:w="3546" w:type="dxa"/>
            <w:tcBorders>
              <w:top w:val="nil"/>
              <w:left w:val="single" w:sz="4" w:space="0" w:color="auto"/>
              <w:bottom w:val="single" w:sz="4" w:space="0" w:color="auto"/>
              <w:right w:val="single" w:sz="4" w:space="0" w:color="auto"/>
            </w:tcBorders>
            <w:shd w:val="clear" w:color="auto" w:fill="ABD9F8" w:themeFill="accent1" w:themeFillTint="66"/>
            <w:vAlign w:val="center"/>
          </w:tcPr>
          <w:p w:rsidR="00D9500A" w:rsidRPr="00240F47" w:rsidRDefault="00D9500A" w:rsidP="00587091">
            <w:pPr>
              <w:rPr>
                <w:rFonts w:ascii="Calibri" w:hAnsi="Calibri" w:cs="Calibri"/>
                <w:sz w:val="20"/>
                <w:szCs w:val="20"/>
              </w:rPr>
            </w:pPr>
            <w:r w:rsidRPr="00240F47">
              <w:rPr>
                <w:rFonts w:ascii="Calibri" w:hAnsi="Calibri" w:cs="Calibri"/>
                <w:sz w:val="20"/>
                <w:szCs w:val="20"/>
              </w:rPr>
              <w:t>Moderate influence</w:t>
            </w:r>
          </w:p>
        </w:tc>
        <w:tc>
          <w:tcPr>
            <w:tcW w:w="1502" w:type="dxa"/>
            <w:tcBorders>
              <w:top w:val="nil"/>
              <w:left w:val="nil"/>
              <w:bottom w:val="single" w:sz="4" w:space="0" w:color="auto"/>
              <w:right w:val="single" w:sz="4" w:space="0" w:color="auto"/>
            </w:tcBorders>
            <w:shd w:val="clear" w:color="auto" w:fill="ABD9F8" w:themeFill="accent1" w:themeFillTint="66"/>
            <w:vAlign w:val="center"/>
          </w:tcPr>
          <w:p w:rsidR="00D9500A" w:rsidRPr="00240F47" w:rsidRDefault="00D9500A" w:rsidP="00587091">
            <w:pPr>
              <w:rPr>
                <w:rFonts w:ascii="Calibri" w:hAnsi="Calibri" w:cs="Calibri"/>
                <w:sz w:val="20"/>
                <w:szCs w:val="20"/>
              </w:rPr>
            </w:pPr>
            <w:r w:rsidRPr="00240F47">
              <w:rPr>
                <w:rFonts w:ascii="Calibri" w:hAnsi="Calibri" w:cs="Calibri"/>
                <w:sz w:val="20"/>
                <w:szCs w:val="20"/>
              </w:rPr>
              <w:t>Education</w:t>
            </w:r>
          </w:p>
        </w:tc>
        <w:tc>
          <w:tcPr>
            <w:tcW w:w="2665" w:type="dxa"/>
            <w:tcBorders>
              <w:top w:val="nil"/>
              <w:left w:val="nil"/>
              <w:bottom w:val="single" w:sz="4" w:space="0" w:color="auto"/>
              <w:right w:val="single" w:sz="4" w:space="0" w:color="auto"/>
            </w:tcBorders>
            <w:shd w:val="clear" w:color="auto" w:fill="ABD9F8" w:themeFill="accent1" w:themeFillTint="66"/>
            <w:vAlign w:val="center"/>
          </w:tcPr>
          <w:p w:rsidR="00D9500A" w:rsidRPr="00240F47" w:rsidRDefault="00D9500A" w:rsidP="00587091">
            <w:pPr>
              <w:rPr>
                <w:rFonts w:ascii="Calibri" w:hAnsi="Calibri" w:cs="Calibri"/>
                <w:sz w:val="20"/>
                <w:szCs w:val="20"/>
              </w:rPr>
            </w:pPr>
            <w:r w:rsidRPr="00240F47">
              <w:rPr>
                <w:rFonts w:ascii="Calibri" w:hAnsi="Calibri" w:cs="Calibri"/>
                <w:sz w:val="20"/>
                <w:szCs w:val="20"/>
              </w:rPr>
              <w:t>Influence on policy/ practice debate</w:t>
            </w:r>
          </w:p>
        </w:tc>
        <w:tc>
          <w:tcPr>
            <w:tcW w:w="2551" w:type="dxa"/>
            <w:tcBorders>
              <w:top w:val="nil"/>
              <w:left w:val="single" w:sz="4" w:space="0" w:color="auto"/>
              <w:bottom w:val="single" w:sz="4" w:space="0" w:color="auto"/>
              <w:right w:val="single" w:sz="4" w:space="0" w:color="auto"/>
            </w:tcBorders>
            <w:shd w:val="clear" w:color="auto" w:fill="ABD9F8" w:themeFill="accent1" w:themeFillTint="66"/>
            <w:vAlign w:val="center"/>
          </w:tcPr>
          <w:p w:rsidR="00D9500A" w:rsidRPr="00240F47" w:rsidRDefault="00D9500A" w:rsidP="00587091">
            <w:pPr>
              <w:rPr>
                <w:rFonts w:ascii="Calibri" w:hAnsi="Calibri" w:cs="Calibri"/>
                <w:sz w:val="20"/>
                <w:szCs w:val="20"/>
              </w:rPr>
            </w:pPr>
            <w:r>
              <w:rPr>
                <w:rFonts w:ascii="Calibri" w:hAnsi="Calibri" w:cs="Calibri"/>
                <w:sz w:val="20"/>
                <w:szCs w:val="20"/>
              </w:rPr>
              <w:t>Luskin et al (2014)</w:t>
            </w:r>
          </w:p>
        </w:tc>
      </w:tr>
      <w:tr w:rsidR="00D9500A" w:rsidTr="00587091">
        <w:tc>
          <w:tcPr>
            <w:tcW w:w="510" w:type="dxa"/>
            <w:vAlign w:val="center"/>
          </w:tcPr>
          <w:p w:rsidR="00D9500A" w:rsidRPr="00A55C6F" w:rsidRDefault="00D9500A" w:rsidP="00587091">
            <w:pPr>
              <w:rPr>
                <w:rFonts w:cstheme="minorHAnsi"/>
                <w:b/>
                <w:i/>
                <w:sz w:val="20"/>
                <w:szCs w:val="20"/>
              </w:rPr>
            </w:pPr>
            <w:r w:rsidRPr="00A55C6F">
              <w:rPr>
                <w:rFonts w:cstheme="minorHAnsi"/>
                <w:b/>
                <w:i/>
                <w:sz w:val="20"/>
                <w:szCs w:val="20"/>
              </w:rPr>
              <w:t>43</w:t>
            </w:r>
          </w:p>
        </w:tc>
        <w:tc>
          <w:tcPr>
            <w:tcW w:w="3546" w:type="dxa"/>
            <w:tcBorders>
              <w:top w:val="nil"/>
              <w:left w:val="single" w:sz="4" w:space="0" w:color="auto"/>
              <w:bottom w:val="single" w:sz="4" w:space="0" w:color="auto"/>
              <w:right w:val="single" w:sz="4" w:space="0" w:color="auto"/>
            </w:tcBorders>
            <w:shd w:val="clear" w:color="auto" w:fill="auto"/>
            <w:vAlign w:val="center"/>
          </w:tcPr>
          <w:p w:rsidR="00D9500A" w:rsidRPr="00240F47" w:rsidRDefault="00D9500A" w:rsidP="00587091">
            <w:pPr>
              <w:rPr>
                <w:rFonts w:ascii="Calibri" w:hAnsi="Calibri" w:cs="Calibri"/>
                <w:sz w:val="20"/>
                <w:szCs w:val="20"/>
              </w:rPr>
            </w:pPr>
            <w:r w:rsidRPr="00240F47">
              <w:rPr>
                <w:rFonts w:ascii="Calibri" w:hAnsi="Calibri" w:cs="Calibri"/>
                <w:sz w:val="20"/>
                <w:szCs w:val="20"/>
              </w:rPr>
              <w:t>Don't know</w:t>
            </w:r>
          </w:p>
        </w:tc>
        <w:tc>
          <w:tcPr>
            <w:tcW w:w="1502" w:type="dxa"/>
            <w:tcBorders>
              <w:top w:val="nil"/>
              <w:left w:val="nil"/>
              <w:bottom w:val="single" w:sz="4" w:space="0" w:color="auto"/>
              <w:right w:val="single" w:sz="4" w:space="0" w:color="auto"/>
            </w:tcBorders>
            <w:shd w:val="clear" w:color="auto" w:fill="auto"/>
            <w:vAlign w:val="center"/>
          </w:tcPr>
          <w:p w:rsidR="00D9500A" w:rsidRPr="00240F47" w:rsidRDefault="00D9500A" w:rsidP="00587091">
            <w:pPr>
              <w:rPr>
                <w:rFonts w:ascii="Calibri" w:hAnsi="Calibri" w:cs="Calibri"/>
                <w:sz w:val="20"/>
                <w:szCs w:val="20"/>
              </w:rPr>
            </w:pPr>
            <w:r w:rsidRPr="00240F47">
              <w:rPr>
                <w:rFonts w:ascii="Calibri" w:hAnsi="Calibri" w:cs="Calibri"/>
                <w:sz w:val="20"/>
                <w:szCs w:val="20"/>
              </w:rPr>
              <w:t>Health</w:t>
            </w:r>
          </w:p>
        </w:tc>
        <w:tc>
          <w:tcPr>
            <w:tcW w:w="2665" w:type="dxa"/>
            <w:tcBorders>
              <w:top w:val="nil"/>
              <w:left w:val="nil"/>
              <w:bottom w:val="single" w:sz="4" w:space="0" w:color="auto"/>
              <w:right w:val="single" w:sz="4" w:space="0" w:color="auto"/>
            </w:tcBorders>
            <w:shd w:val="clear" w:color="auto" w:fill="auto"/>
            <w:vAlign w:val="center"/>
          </w:tcPr>
          <w:p w:rsidR="00D9500A" w:rsidRPr="00240F47" w:rsidRDefault="00D9500A" w:rsidP="00587091">
            <w:pPr>
              <w:rPr>
                <w:rFonts w:ascii="Calibri" w:hAnsi="Calibri" w:cs="Calibri"/>
                <w:sz w:val="20"/>
                <w:szCs w:val="20"/>
              </w:rPr>
            </w:pPr>
            <w:r w:rsidRPr="00240F47">
              <w:rPr>
                <w:rFonts w:ascii="Calibri" w:hAnsi="Calibri" w:cs="Calibri"/>
                <w:sz w:val="20"/>
                <w:szCs w:val="20"/>
              </w:rPr>
              <w:t>Limited influence</w:t>
            </w:r>
          </w:p>
        </w:tc>
        <w:tc>
          <w:tcPr>
            <w:tcW w:w="2551" w:type="dxa"/>
            <w:tcBorders>
              <w:top w:val="nil"/>
              <w:left w:val="single" w:sz="4" w:space="0" w:color="auto"/>
              <w:bottom w:val="single" w:sz="4" w:space="0" w:color="auto"/>
              <w:right w:val="single" w:sz="4" w:space="0" w:color="auto"/>
            </w:tcBorders>
            <w:shd w:val="clear" w:color="auto" w:fill="auto"/>
            <w:vAlign w:val="center"/>
          </w:tcPr>
          <w:p w:rsidR="00D9500A" w:rsidRPr="00240F47" w:rsidRDefault="00D9500A" w:rsidP="00587091">
            <w:pPr>
              <w:rPr>
                <w:rFonts w:ascii="Calibri" w:hAnsi="Calibri" w:cs="Calibri"/>
                <w:sz w:val="20"/>
                <w:szCs w:val="20"/>
              </w:rPr>
            </w:pPr>
            <w:r>
              <w:rPr>
                <w:rFonts w:ascii="Calibri" w:hAnsi="Calibri" w:cs="Calibri"/>
                <w:sz w:val="20"/>
                <w:szCs w:val="20"/>
              </w:rPr>
              <w:t>Fletcher (2017)</w:t>
            </w:r>
          </w:p>
        </w:tc>
      </w:tr>
      <w:tr w:rsidR="00D9500A" w:rsidTr="00587091">
        <w:tc>
          <w:tcPr>
            <w:tcW w:w="510" w:type="dxa"/>
            <w:shd w:val="clear" w:color="auto" w:fill="ABD9F8" w:themeFill="accent1" w:themeFillTint="66"/>
            <w:vAlign w:val="center"/>
          </w:tcPr>
          <w:p w:rsidR="00D9500A" w:rsidRPr="00A55C6F" w:rsidRDefault="00D9500A" w:rsidP="00587091">
            <w:pPr>
              <w:rPr>
                <w:rFonts w:cstheme="minorHAnsi"/>
                <w:b/>
                <w:i/>
                <w:sz w:val="20"/>
                <w:szCs w:val="20"/>
              </w:rPr>
            </w:pPr>
            <w:r w:rsidRPr="00A55C6F">
              <w:rPr>
                <w:rFonts w:cstheme="minorHAnsi"/>
                <w:b/>
                <w:i/>
                <w:sz w:val="20"/>
                <w:szCs w:val="20"/>
              </w:rPr>
              <w:t>44</w:t>
            </w:r>
          </w:p>
        </w:tc>
        <w:tc>
          <w:tcPr>
            <w:tcW w:w="3546" w:type="dxa"/>
            <w:tcBorders>
              <w:top w:val="nil"/>
              <w:left w:val="single" w:sz="4" w:space="0" w:color="auto"/>
              <w:bottom w:val="single" w:sz="4" w:space="0" w:color="auto"/>
              <w:right w:val="single" w:sz="4" w:space="0" w:color="auto"/>
            </w:tcBorders>
            <w:shd w:val="clear" w:color="auto" w:fill="ABD9F8" w:themeFill="accent1" w:themeFillTint="66"/>
            <w:vAlign w:val="center"/>
          </w:tcPr>
          <w:p w:rsidR="00D9500A" w:rsidRPr="00240F47" w:rsidRDefault="00D9500A" w:rsidP="00587091">
            <w:pPr>
              <w:rPr>
                <w:rFonts w:ascii="Calibri" w:hAnsi="Calibri" w:cs="Calibri"/>
                <w:sz w:val="20"/>
                <w:szCs w:val="20"/>
              </w:rPr>
            </w:pPr>
            <w:r w:rsidRPr="00240F47">
              <w:rPr>
                <w:rFonts w:ascii="Calibri" w:hAnsi="Calibri" w:cs="Calibri"/>
                <w:sz w:val="20"/>
                <w:szCs w:val="20"/>
              </w:rPr>
              <w:t xml:space="preserve">In summary, most people were supportive of CHC’s planned use of health data. </w:t>
            </w:r>
          </w:p>
        </w:tc>
        <w:tc>
          <w:tcPr>
            <w:tcW w:w="1502" w:type="dxa"/>
            <w:tcBorders>
              <w:top w:val="nil"/>
              <w:left w:val="nil"/>
              <w:bottom w:val="single" w:sz="4" w:space="0" w:color="auto"/>
              <w:right w:val="single" w:sz="4" w:space="0" w:color="auto"/>
            </w:tcBorders>
            <w:shd w:val="clear" w:color="auto" w:fill="ABD9F8" w:themeFill="accent1" w:themeFillTint="66"/>
            <w:vAlign w:val="center"/>
          </w:tcPr>
          <w:p w:rsidR="00D9500A" w:rsidRPr="00240F47" w:rsidRDefault="00D9500A" w:rsidP="00587091">
            <w:pPr>
              <w:rPr>
                <w:rFonts w:ascii="Calibri" w:hAnsi="Calibri" w:cs="Calibri"/>
                <w:sz w:val="20"/>
                <w:szCs w:val="20"/>
              </w:rPr>
            </w:pPr>
            <w:r w:rsidRPr="00240F47">
              <w:rPr>
                <w:rFonts w:ascii="Calibri" w:hAnsi="Calibri" w:cs="Calibri"/>
                <w:sz w:val="20"/>
                <w:szCs w:val="20"/>
              </w:rPr>
              <w:t>Health</w:t>
            </w:r>
          </w:p>
        </w:tc>
        <w:tc>
          <w:tcPr>
            <w:tcW w:w="2665" w:type="dxa"/>
            <w:tcBorders>
              <w:top w:val="nil"/>
              <w:left w:val="nil"/>
              <w:bottom w:val="single" w:sz="4" w:space="0" w:color="auto"/>
              <w:right w:val="single" w:sz="4" w:space="0" w:color="auto"/>
            </w:tcBorders>
            <w:shd w:val="clear" w:color="auto" w:fill="ABD9F8" w:themeFill="accent1" w:themeFillTint="66"/>
            <w:vAlign w:val="center"/>
          </w:tcPr>
          <w:p w:rsidR="00D9500A" w:rsidRPr="00240F47" w:rsidRDefault="00D9500A" w:rsidP="00587091">
            <w:pPr>
              <w:rPr>
                <w:rFonts w:ascii="Calibri" w:hAnsi="Calibri" w:cs="Calibri"/>
                <w:sz w:val="20"/>
                <w:szCs w:val="20"/>
              </w:rPr>
            </w:pPr>
            <w:r w:rsidRPr="00240F47">
              <w:rPr>
                <w:rFonts w:ascii="Calibri" w:hAnsi="Calibri" w:cs="Calibri"/>
                <w:sz w:val="20"/>
                <w:szCs w:val="20"/>
              </w:rPr>
              <w:t>Don't know</w:t>
            </w:r>
          </w:p>
        </w:tc>
        <w:tc>
          <w:tcPr>
            <w:tcW w:w="2551" w:type="dxa"/>
            <w:tcBorders>
              <w:top w:val="nil"/>
              <w:left w:val="single" w:sz="4" w:space="0" w:color="auto"/>
              <w:bottom w:val="single" w:sz="4" w:space="0" w:color="auto"/>
              <w:right w:val="single" w:sz="4" w:space="0" w:color="auto"/>
            </w:tcBorders>
            <w:shd w:val="clear" w:color="auto" w:fill="ABD9F8" w:themeFill="accent1" w:themeFillTint="66"/>
            <w:vAlign w:val="center"/>
          </w:tcPr>
          <w:p w:rsidR="00D9500A" w:rsidRPr="00240F47" w:rsidRDefault="00D9500A" w:rsidP="00587091">
            <w:pPr>
              <w:rPr>
                <w:rFonts w:ascii="Calibri" w:hAnsi="Calibri" w:cs="Calibri"/>
                <w:sz w:val="20"/>
                <w:szCs w:val="20"/>
              </w:rPr>
            </w:pPr>
            <w:r w:rsidRPr="00240F47">
              <w:rPr>
                <w:rFonts w:ascii="Calibri" w:hAnsi="Calibri" w:cs="Calibri"/>
                <w:sz w:val="20"/>
                <w:szCs w:val="20"/>
              </w:rPr>
              <w:t>Connected Health Cities (2017)</w:t>
            </w:r>
          </w:p>
        </w:tc>
      </w:tr>
      <w:tr w:rsidR="00D9500A" w:rsidTr="00587091">
        <w:tc>
          <w:tcPr>
            <w:tcW w:w="510" w:type="dxa"/>
            <w:vAlign w:val="center"/>
          </w:tcPr>
          <w:p w:rsidR="00D9500A" w:rsidRPr="00A55C6F" w:rsidRDefault="00D9500A" w:rsidP="00587091">
            <w:pPr>
              <w:rPr>
                <w:rFonts w:cstheme="minorHAnsi"/>
                <w:b/>
                <w:i/>
                <w:sz w:val="20"/>
                <w:szCs w:val="20"/>
              </w:rPr>
            </w:pPr>
            <w:r w:rsidRPr="00A55C6F">
              <w:rPr>
                <w:rFonts w:cstheme="minorHAnsi"/>
                <w:b/>
                <w:i/>
                <w:sz w:val="20"/>
                <w:szCs w:val="20"/>
              </w:rPr>
              <w:t>45</w:t>
            </w:r>
          </w:p>
        </w:tc>
        <w:tc>
          <w:tcPr>
            <w:tcW w:w="3546" w:type="dxa"/>
            <w:tcBorders>
              <w:top w:val="nil"/>
              <w:left w:val="single" w:sz="4" w:space="0" w:color="auto"/>
              <w:bottom w:val="single" w:sz="4" w:space="0" w:color="auto"/>
              <w:right w:val="single" w:sz="4" w:space="0" w:color="auto"/>
            </w:tcBorders>
            <w:shd w:val="clear" w:color="auto" w:fill="auto"/>
            <w:vAlign w:val="center"/>
          </w:tcPr>
          <w:p w:rsidR="00D9500A" w:rsidRPr="00240F47" w:rsidRDefault="00D9500A" w:rsidP="00587091">
            <w:pPr>
              <w:rPr>
                <w:rFonts w:ascii="Calibri" w:hAnsi="Calibri" w:cs="Calibri"/>
                <w:sz w:val="20"/>
                <w:szCs w:val="20"/>
              </w:rPr>
            </w:pPr>
            <w:r w:rsidRPr="00240F47">
              <w:rPr>
                <w:rFonts w:ascii="Calibri" w:hAnsi="Calibri" w:cs="Calibri"/>
                <w:sz w:val="20"/>
                <w:szCs w:val="20"/>
              </w:rPr>
              <w:t>Don't know</w:t>
            </w:r>
          </w:p>
        </w:tc>
        <w:tc>
          <w:tcPr>
            <w:tcW w:w="1502" w:type="dxa"/>
            <w:tcBorders>
              <w:top w:val="nil"/>
              <w:left w:val="nil"/>
              <w:bottom w:val="single" w:sz="4" w:space="0" w:color="auto"/>
              <w:right w:val="single" w:sz="4" w:space="0" w:color="auto"/>
            </w:tcBorders>
            <w:shd w:val="clear" w:color="auto" w:fill="auto"/>
            <w:vAlign w:val="center"/>
          </w:tcPr>
          <w:p w:rsidR="00D9500A" w:rsidRPr="00240F47" w:rsidRDefault="00D9500A" w:rsidP="00587091">
            <w:pPr>
              <w:rPr>
                <w:rFonts w:ascii="Calibri" w:hAnsi="Calibri" w:cs="Calibri"/>
                <w:sz w:val="20"/>
                <w:szCs w:val="20"/>
              </w:rPr>
            </w:pPr>
            <w:r w:rsidRPr="00240F47">
              <w:rPr>
                <w:rFonts w:ascii="Calibri" w:hAnsi="Calibri" w:cs="Calibri"/>
                <w:sz w:val="20"/>
                <w:szCs w:val="20"/>
              </w:rPr>
              <w:t>Health</w:t>
            </w:r>
          </w:p>
        </w:tc>
        <w:tc>
          <w:tcPr>
            <w:tcW w:w="2665" w:type="dxa"/>
            <w:tcBorders>
              <w:top w:val="nil"/>
              <w:left w:val="nil"/>
              <w:bottom w:val="single" w:sz="4" w:space="0" w:color="auto"/>
              <w:right w:val="single" w:sz="4" w:space="0" w:color="auto"/>
            </w:tcBorders>
            <w:shd w:val="clear" w:color="auto" w:fill="auto"/>
            <w:vAlign w:val="center"/>
          </w:tcPr>
          <w:p w:rsidR="00D9500A" w:rsidRPr="00240F47" w:rsidRDefault="00D9500A" w:rsidP="00587091">
            <w:pPr>
              <w:rPr>
                <w:rFonts w:ascii="Calibri" w:hAnsi="Calibri" w:cs="Calibri"/>
                <w:sz w:val="20"/>
                <w:szCs w:val="20"/>
              </w:rPr>
            </w:pPr>
            <w:r w:rsidRPr="00240F47">
              <w:rPr>
                <w:rFonts w:ascii="Calibri" w:hAnsi="Calibri" w:cs="Calibri"/>
                <w:sz w:val="20"/>
                <w:szCs w:val="20"/>
              </w:rPr>
              <w:t>Limited influence</w:t>
            </w:r>
          </w:p>
        </w:tc>
        <w:tc>
          <w:tcPr>
            <w:tcW w:w="2551" w:type="dxa"/>
            <w:tcBorders>
              <w:top w:val="nil"/>
              <w:left w:val="single" w:sz="4" w:space="0" w:color="auto"/>
              <w:bottom w:val="single" w:sz="4" w:space="0" w:color="auto"/>
              <w:right w:val="single" w:sz="4" w:space="0" w:color="auto"/>
            </w:tcBorders>
            <w:shd w:val="clear" w:color="auto" w:fill="auto"/>
            <w:vAlign w:val="center"/>
          </w:tcPr>
          <w:p w:rsidR="00D9500A" w:rsidRPr="00240F47" w:rsidRDefault="00D9500A" w:rsidP="00587091">
            <w:pPr>
              <w:rPr>
                <w:rFonts w:ascii="Calibri" w:hAnsi="Calibri" w:cs="Calibri"/>
                <w:sz w:val="20"/>
                <w:szCs w:val="20"/>
              </w:rPr>
            </w:pPr>
            <w:r>
              <w:rPr>
                <w:rFonts w:ascii="Calibri" w:hAnsi="Calibri" w:cs="Calibri"/>
                <w:sz w:val="20"/>
                <w:szCs w:val="20"/>
              </w:rPr>
              <w:t>Fletcher (2017)</w:t>
            </w:r>
          </w:p>
        </w:tc>
      </w:tr>
      <w:tr w:rsidR="00D9500A" w:rsidTr="00587091">
        <w:tc>
          <w:tcPr>
            <w:tcW w:w="510" w:type="dxa"/>
            <w:shd w:val="clear" w:color="auto" w:fill="ABD9F8" w:themeFill="accent1" w:themeFillTint="66"/>
            <w:vAlign w:val="center"/>
          </w:tcPr>
          <w:p w:rsidR="00D9500A" w:rsidRPr="00A55C6F" w:rsidRDefault="00D9500A" w:rsidP="00587091">
            <w:pPr>
              <w:rPr>
                <w:rFonts w:cstheme="minorHAnsi"/>
                <w:b/>
                <w:i/>
                <w:sz w:val="20"/>
                <w:szCs w:val="20"/>
              </w:rPr>
            </w:pPr>
            <w:r w:rsidRPr="00A55C6F">
              <w:rPr>
                <w:rFonts w:cstheme="minorHAnsi"/>
                <w:b/>
                <w:i/>
                <w:sz w:val="20"/>
                <w:szCs w:val="20"/>
              </w:rPr>
              <w:t>46</w:t>
            </w:r>
          </w:p>
        </w:tc>
        <w:tc>
          <w:tcPr>
            <w:tcW w:w="3546" w:type="dxa"/>
            <w:tcBorders>
              <w:top w:val="nil"/>
              <w:left w:val="single" w:sz="4" w:space="0" w:color="auto"/>
              <w:bottom w:val="single" w:sz="4" w:space="0" w:color="auto"/>
              <w:right w:val="single" w:sz="4" w:space="0" w:color="auto"/>
            </w:tcBorders>
            <w:shd w:val="clear" w:color="auto" w:fill="ABD9F8" w:themeFill="accent1" w:themeFillTint="66"/>
            <w:vAlign w:val="center"/>
          </w:tcPr>
          <w:p w:rsidR="00D9500A" w:rsidRPr="00240F47" w:rsidRDefault="00D9500A" w:rsidP="00587091">
            <w:pPr>
              <w:rPr>
                <w:rFonts w:ascii="Calibri" w:hAnsi="Calibri" w:cs="Calibri"/>
                <w:sz w:val="20"/>
                <w:szCs w:val="20"/>
              </w:rPr>
            </w:pPr>
            <w:r w:rsidRPr="00240F47">
              <w:rPr>
                <w:rFonts w:ascii="Calibri" w:hAnsi="Calibri" w:cs="Calibri"/>
                <w:sz w:val="20"/>
                <w:szCs w:val="20"/>
              </w:rPr>
              <w:t>Moderate influence</w:t>
            </w:r>
          </w:p>
        </w:tc>
        <w:tc>
          <w:tcPr>
            <w:tcW w:w="1502" w:type="dxa"/>
            <w:tcBorders>
              <w:top w:val="nil"/>
              <w:left w:val="nil"/>
              <w:bottom w:val="single" w:sz="4" w:space="0" w:color="auto"/>
              <w:right w:val="single" w:sz="4" w:space="0" w:color="auto"/>
            </w:tcBorders>
            <w:shd w:val="clear" w:color="auto" w:fill="ABD9F8" w:themeFill="accent1" w:themeFillTint="66"/>
            <w:vAlign w:val="center"/>
          </w:tcPr>
          <w:p w:rsidR="00D9500A" w:rsidRPr="00240F47" w:rsidRDefault="00D9500A" w:rsidP="00587091">
            <w:pPr>
              <w:rPr>
                <w:rFonts w:ascii="Calibri" w:hAnsi="Calibri" w:cs="Calibri"/>
                <w:sz w:val="20"/>
                <w:szCs w:val="20"/>
              </w:rPr>
            </w:pPr>
            <w:r w:rsidRPr="00240F47">
              <w:rPr>
                <w:rFonts w:ascii="Calibri" w:hAnsi="Calibri" w:cs="Calibri"/>
                <w:sz w:val="20"/>
                <w:szCs w:val="20"/>
              </w:rPr>
              <w:t>Health</w:t>
            </w:r>
          </w:p>
        </w:tc>
        <w:tc>
          <w:tcPr>
            <w:tcW w:w="2665" w:type="dxa"/>
            <w:tcBorders>
              <w:top w:val="nil"/>
              <w:left w:val="nil"/>
              <w:bottom w:val="single" w:sz="4" w:space="0" w:color="auto"/>
              <w:right w:val="single" w:sz="4" w:space="0" w:color="auto"/>
            </w:tcBorders>
            <w:shd w:val="clear" w:color="auto" w:fill="ABD9F8" w:themeFill="accent1" w:themeFillTint="66"/>
            <w:vAlign w:val="center"/>
          </w:tcPr>
          <w:p w:rsidR="00D9500A" w:rsidRPr="00240F47" w:rsidRDefault="00D9500A" w:rsidP="00587091">
            <w:pPr>
              <w:rPr>
                <w:rFonts w:ascii="Calibri" w:hAnsi="Calibri" w:cs="Calibri"/>
                <w:sz w:val="20"/>
                <w:szCs w:val="20"/>
              </w:rPr>
            </w:pPr>
            <w:r w:rsidRPr="00240F47">
              <w:rPr>
                <w:rFonts w:ascii="Calibri" w:hAnsi="Calibri" w:cs="Calibri"/>
                <w:sz w:val="20"/>
                <w:szCs w:val="20"/>
              </w:rPr>
              <w:t>Influence on policy/ practice debate</w:t>
            </w:r>
          </w:p>
        </w:tc>
        <w:tc>
          <w:tcPr>
            <w:tcW w:w="2551" w:type="dxa"/>
            <w:tcBorders>
              <w:top w:val="nil"/>
              <w:left w:val="single" w:sz="4" w:space="0" w:color="auto"/>
              <w:bottom w:val="single" w:sz="4" w:space="0" w:color="auto"/>
              <w:right w:val="single" w:sz="4" w:space="0" w:color="auto"/>
            </w:tcBorders>
            <w:shd w:val="clear" w:color="auto" w:fill="ABD9F8" w:themeFill="accent1" w:themeFillTint="66"/>
            <w:vAlign w:val="center"/>
          </w:tcPr>
          <w:p w:rsidR="00D9500A" w:rsidRPr="00240F47" w:rsidRDefault="00D9500A" w:rsidP="00587091">
            <w:pPr>
              <w:rPr>
                <w:rFonts w:ascii="Calibri" w:hAnsi="Calibri" w:cs="Calibri"/>
                <w:sz w:val="20"/>
                <w:szCs w:val="20"/>
              </w:rPr>
            </w:pPr>
            <w:proofErr w:type="spellStart"/>
            <w:r w:rsidRPr="00240F47">
              <w:rPr>
                <w:rFonts w:ascii="Calibri" w:hAnsi="Calibri" w:cs="Calibri"/>
                <w:sz w:val="20"/>
                <w:szCs w:val="20"/>
              </w:rPr>
              <w:t>Adebowale</w:t>
            </w:r>
            <w:proofErr w:type="spellEnd"/>
            <w:r>
              <w:rPr>
                <w:rFonts w:ascii="Calibri" w:hAnsi="Calibri" w:cs="Calibri"/>
                <w:sz w:val="20"/>
                <w:szCs w:val="20"/>
              </w:rPr>
              <w:t xml:space="preserve"> et al. (2015)</w:t>
            </w:r>
          </w:p>
        </w:tc>
      </w:tr>
      <w:tr w:rsidR="00D9500A" w:rsidTr="00587091">
        <w:tc>
          <w:tcPr>
            <w:tcW w:w="510" w:type="dxa"/>
            <w:vAlign w:val="center"/>
          </w:tcPr>
          <w:p w:rsidR="00D9500A" w:rsidRPr="00A55C6F" w:rsidRDefault="00D9500A" w:rsidP="00587091">
            <w:pPr>
              <w:rPr>
                <w:rFonts w:cstheme="minorHAnsi"/>
                <w:b/>
                <w:i/>
                <w:sz w:val="20"/>
                <w:szCs w:val="20"/>
              </w:rPr>
            </w:pPr>
            <w:r w:rsidRPr="00A55C6F">
              <w:rPr>
                <w:rFonts w:cstheme="minorHAnsi"/>
                <w:b/>
                <w:i/>
                <w:sz w:val="20"/>
                <w:szCs w:val="20"/>
              </w:rPr>
              <w:t>47</w:t>
            </w:r>
          </w:p>
        </w:tc>
        <w:tc>
          <w:tcPr>
            <w:tcW w:w="3546" w:type="dxa"/>
            <w:tcBorders>
              <w:top w:val="nil"/>
              <w:left w:val="single" w:sz="4" w:space="0" w:color="auto"/>
              <w:bottom w:val="single" w:sz="4" w:space="0" w:color="auto"/>
              <w:right w:val="single" w:sz="4" w:space="0" w:color="auto"/>
            </w:tcBorders>
            <w:shd w:val="clear" w:color="auto" w:fill="auto"/>
            <w:vAlign w:val="center"/>
          </w:tcPr>
          <w:p w:rsidR="00D9500A" w:rsidRPr="00240F47" w:rsidRDefault="00D9500A" w:rsidP="00587091">
            <w:pPr>
              <w:rPr>
                <w:rFonts w:ascii="Calibri" w:hAnsi="Calibri" w:cs="Calibri"/>
                <w:sz w:val="20"/>
                <w:szCs w:val="20"/>
              </w:rPr>
            </w:pPr>
            <w:r w:rsidRPr="00240F47">
              <w:rPr>
                <w:rFonts w:ascii="Calibri" w:hAnsi="Calibri" w:cs="Calibri"/>
                <w:sz w:val="20"/>
                <w:szCs w:val="20"/>
              </w:rPr>
              <w:t>In summary, the jury admitted initial doubt about the process, but by the end there was a unanimous support for the experience and all held a positive view about the deliberation process.</w:t>
            </w:r>
          </w:p>
        </w:tc>
        <w:tc>
          <w:tcPr>
            <w:tcW w:w="1502" w:type="dxa"/>
            <w:tcBorders>
              <w:top w:val="nil"/>
              <w:left w:val="nil"/>
              <w:bottom w:val="single" w:sz="4" w:space="0" w:color="auto"/>
              <w:right w:val="single" w:sz="4" w:space="0" w:color="auto"/>
            </w:tcBorders>
            <w:shd w:val="clear" w:color="auto" w:fill="auto"/>
            <w:vAlign w:val="center"/>
          </w:tcPr>
          <w:p w:rsidR="00D9500A" w:rsidRPr="00240F47" w:rsidRDefault="00D9500A" w:rsidP="00587091">
            <w:pPr>
              <w:rPr>
                <w:rFonts w:ascii="Calibri" w:hAnsi="Calibri" w:cs="Calibri"/>
                <w:sz w:val="20"/>
                <w:szCs w:val="20"/>
              </w:rPr>
            </w:pPr>
            <w:r w:rsidRPr="00240F47">
              <w:rPr>
                <w:rFonts w:ascii="Calibri" w:hAnsi="Calibri" w:cs="Calibri"/>
                <w:sz w:val="20"/>
                <w:szCs w:val="20"/>
              </w:rPr>
              <w:t>Fire safety</w:t>
            </w:r>
          </w:p>
        </w:tc>
        <w:tc>
          <w:tcPr>
            <w:tcW w:w="2665" w:type="dxa"/>
            <w:tcBorders>
              <w:top w:val="nil"/>
              <w:left w:val="nil"/>
              <w:bottom w:val="single" w:sz="4" w:space="0" w:color="auto"/>
              <w:right w:val="single" w:sz="4" w:space="0" w:color="auto"/>
            </w:tcBorders>
            <w:shd w:val="clear" w:color="auto" w:fill="auto"/>
            <w:vAlign w:val="center"/>
          </w:tcPr>
          <w:p w:rsidR="00D9500A" w:rsidRPr="00240F47" w:rsidRDefault="00D9500A" w:rsidP="00587091">
            <w:pPr>
              <w:rPr>
                <w:rFonts w:ascii="Calibri" w:hAnsi="Calibri" w:cs="Calibri"/>
                <w:sz w:val="20"/>
                <w:szCs w:val="20"/>
              </w:rPr>
            </w:pPr>
            <w:r w:rsidRPr="00240F47">
              <w:rPr>
                <w:rFonts w:ascii="Calibri" w:hAnsi="Calibri" w:cs="Calibri"/>
                <w:sz w:val="20"/>
                <w:szCs w:val="20"/>
              </w:rPr>
              <w:t>Influence on policy/ practice debate</w:t>
            </w:r>
          </w:p>
        </w:tc>
        <w:tc>
          <w:tcPr>
            <w:tcW w:w="2551" w:type="dxa"/>
            <w:tcBorders>
              <w:top w:val="nil"/>
              <w:left w:val="single" w:sz="4" w:space="0" w:color="auto"/>
              <w:bottom w:val="single" w:sz="4" w:space="0" w:color="auto"/>
              <w:right w:val="single" w:sz="4" w:space="0" w:color="auto"/>
            </w:tcBorders>
            <w:shd w:val="clear" w:color="auto" w:fill="auto"/>
            <w:vAlign w:val="center"/>
          </w:tcPr>
          <w:p w:rsidR="00D9500A" w:rsidRPr="00240F47" w:rsidRDefault="00D9500A" w:rsidP="00587091">
            <w:pPr>
              <w:rPr>
                <w:rFonts w:ascii="Calibri" w:hAnsi="Calibri" w:cs="Calibri"/>
                <w:sz w:val="20"/>
                <w:szCs w:val="20"/>
              </w:rPr>
            </w:pPr>
            <w:r>
              <w:rPr>
                <w:rFonts w:ascii="Calibri" w:hAnsi="Calibri" w:cs="Calibri"/>
                <w:sz w:val="20"/>
                <w:szCs w:val="20"/>
              </w:rPr>
              <w:t>Bland (2017)</w:t>
            </w:r>
          </w:p>
        </w:tc>
      </w:tr>
      <w:tr w:rsidR="00D9500A" w:rsidTr="00587091">
        <w:tc>
          <w:tcPr>
            <w:tcW w:w="510" w:type="dxa"/>
            <w:shd w:val="clear" w:color="auto" w:fill="ABD9F8" w:themeFill="accent1" w:themeFillTint="66"/>
            <w:vAlign w:val="center"/>
          </w:tcPr>
          <w:p w:rsidR="00D9500A" w:rsidRPr="00A55C6F" w:rsidRDefault="00D9500A" w:rsidP="00587091">
            <w:pPr>
              <w:rPr>
                <w:rFonts w:cstheme="minorHAnsi"/>
                <w:b/>
                <w:i/>
                <w:sz w:val="20"/>
                <w:szCs w:val="20"/>
              </w:rPr>
            </w:pPr>
            <w:r w:rsidRPr="00A55C6F">
              <w:rPr>
                <w:rFonts w:cstheme="minorHAnsi"/>
                <w:b/>
                <w:i/>
                <w:sz w:val="20"/>
                <w:szCs w:val="20"/>
              </w:rPr>
              <w:t>48</w:t>
            </w:r>
          </w:p>
        </w:tc>
        <w:tc>
          <w:tcPr>
            <w:tcW w:w="3546" w:type="dxa"/>
            <w:tcBorders>
              <w:top w:val="nil"/>
              <w:left w:val="single" w:sz="4" w:space="0" w:color="auto"/>
              <w:bottom w:val="single" w:sz="4" w:space="0" w:color="auto"/>
              <w:right w:val="single" w:sz="4" w:space="0" w:color="auto"/>
            </w:tcBorders>
            <w:shd w:val="clear" w:color="auto" w:fill="ABD9F8" w:themeFill="accent1" w:themeFillTint="66"/>
            <w:vAlign w:val="center"/>
          </w:tcPr>
          <w:p w:rsidR="00D9500A" w:rsidRPr="00240F47" w:rsidRDefault="00D9500A" w:rsidP="00587091">
            <w:pPr>
              <w:rPr>
                <w:rFonts w:ascii="Calibri" w:hAnsi="Calibri" w:cs="Calibri"/>
                <w:sz w:val="20"/>
                <w:szCs w:val="20"/>
              </w:rPr>
            </w:pPr>
            <w:r w:rsidRPr="00240F47">
              <w:rPr>
                <w:rFonts w:ascii="Calibri" w:hAnsi="Calibri" w:cs="Calibri"/>
                <w:sz w:val="20"/>
                <w:szCs w:val="20"/>
              </w:rPr>
              <w:t xml:space="preserve">In summary, the jury appears to have cautiously welcomed the future advent of genetic testing, but to have taken a somewhat sceptical view of the ability of the health service to respond appropriately. </w:t>
            </w:r>
          </w:p>
        </w:tc>
        <w:tc>
          <w:tcPr>
            <w:tcW w:w="1502" w:type="dxa"/>
            <w:tcBorders>
              <w:top w:val="nil"/>
              <w:left w:val="nil"/>
              <w:bottom w:val="single" w:sz="4" w:space="0" w:color="auto"/>
              <w:right w:val="single" w:sz="4" w:space="0" w:color="auto"/>
            </w:tcBorders>
            <w:shd w:val="clear" w:color="auto" w:fill="ABD9F8" w:themeFill="accent1" w:themeFillTint="66"/>
            <w:vAlign w:val="center"/>
          </w:tcPr>
          <w:p w:rsidR="00D9500A" w:rsidRPr="00240F47" w:rsidRDefault="00D9500A" w:rsidP="00587091">
            <w:pPr>
              <w:rPr>
                <w:rFonts w:ascii="Calibri" w:hAnsi="Calibri" w:cs="Calibri"/>
                <w:sz w:val="20"/>
                <w:szCs w:val="20"/>
              </w:rPr>
            </w:pPr>
            <w:r w:rsidRPr="00240F47">
              <w:rPr>
                <w:rFonts w:ascii="Calibri" w:hAnsi="Calibri" w:cs="Calibri"/>
                <w:sz w:val="20"/>
                <w:szCs w:val="20"/>
              </w:rPr>
              <w:t>Health</w:t>
            </w:r>
          </w:p>
        </w:tc>
        <w:tc>
          <w:tcPr>
            <w:tcW w:w="2665" w:type="dxa"/>
            <w:tcBorders>
              <w:top w:val="nil"/>
              <w:left w:val="nil"/>
              <w:bottom w:val="single" w:sz="4" w:space="0" w:color="auto"/>
              <w:right w:val="single" w:sz="4" w:space="0" w:color="auto"/>
            </w:tcBorders>
            <w:shd w:val="clear" w:color="auto" w:fill="ABD9F8" w:themeFill="accent1" w:themeFillTint="66"/>
            <w:vAlign w:val="center"/>
          </w:tcPr>
          <w:p w:rsidR="00D9500A" w:rsidRPr="00240F47" w:rsidRDefault="00D9500A" w:rsidP="00587091">
            <w:pPr>
              <w:rPr>
                <w:rFonts w:ascii="Calibri" w:hAnsi="Calibri" w:cs="Calibri"/>
                <w:sz w:val="20"/>
                <w:szCs w:val="20"/>
              </w:rPr>
            </w:pPr>
            <w:r w:rsidRPr="00240F47">
              <w:rPr>
                <w:rFonts w:ascii="Calibri" w:hAnsi="Calibri" w:cs="Calibri"/>
                <w:sz w:val="20"/>
                <w:szCs w:val="20"/>
              </w:rPr>
              <w:t>Influence on policy/ practice debate</w:t>
            </w:r>
          </w:p>
        </w:tc>
        <w:tc>
          <w:tcPr>
            <w:tcW w:w="2551" w:type="dxa"/>
            <w:tcBorders>
              <w:top w:val="nil"/>
              <w:left w:val="single" w:sz="4" w:space="0" w:color="auto"/>
              <w:bottom w:val="single" w:sz="4" w:space="0" w:color="auto"/>
              <w:right w:val="single" w:sz="4" w:space="0" w:color="auto"/>
            </w:tcBorders>
            <w:shd w:val="clear" w:color="auto" w:fill="ABD9F8" w:themeFill="accent1" w:themeFillTint="66"/>
            <w:vAlign w:val="center"/>
          </w:tcPr>
          <w:p w:rsidR="00D9500A" w:rsidRPr="00240F47" w:rsidRDefault="00D9500A" w:rsidP="00587091">
            <w:pPr>
              <w:rPr>
                <w:rFonts w:ascii="Calibri" w:hAnsi="Calibri" w:cs="Calibri"/>
                <w:sz w:val="20"/>
                <w:szCs w:val="20"/>
              </w:rPr>
            </w:pPr>
            <w:r>
              <w:rPr>
                <w:rFonts w:ascii="Calibri" w:hAnsi="Calibri" w:cs="Calibri"/>
                <w:sz w:val="20"/>
                <w:szCs w:val="20"/>
              </w:rPr>
              <w:t>Longley (2006)</w:t>
            </w:r>
          </w:p>
        </w:tc>
      </w:tr>
      <w:tr w:rsidR="00D9500A" w:rsidTr="00587091">
        <w:tc>
          <w:tcPr>
            <w:tcW w:w="510" w:type="dxa"/>
          </w:tcPr>
          <w:p w:rsidR="00D9500A" w:rsidRPr="00A55C6F" w:rsidRDefault="00D9500A" w:rsidP="00587091">
            <w:pPr>
              <w:rPr>
                <w:rFonts w:cstheme="minorHAnsi"/>
                <w:b/>
                <w:i/>
                <w:sz w:val="20"/>
                <w:szCs w:val="20"/>
              </w:rPr>
            </w:pPr>
            <w:r w:rsidRPr="00A55C6F">
              <w:rPr>
                <w:rFonts w:cstheme="minorHAnsi"/>
                <w:b/>
                <w:i/>
                <w:sz w:val="20"/>
                <w:szCs w:val="20"/>
              </w:rPr>
              <w:t>49</w:t>
            </w:r>
          </w:p>
        </w:tc>
        <w:tc>
          <w:tcPr>
            <w:tcW w:w="3546" w:type="dxa"/>
            <w:tcBorders>
              <w:top w:val="nil"/>
              <w:left w:val="single" w:sz="4" w:space="0" w:color="auto"/>
              <w:bottom w:val="single" w:sz="4" w:space="0" w:color="auto"/>
              <w:right w:val="single" w:sz="4" w:space="0" w:color="auto"/>
            </w:tcBorders>
            <w:shd w:val="clear" w:color="auto" w:fill="auto"/>
            <w:vAlign w:val="center"/>
          </w:tcPr>
          <w:p w:rsidR="00D9500A" w:rsidRPr="00240F47" w:rsidRDefault="00D9500A" w:rsidP="00587091">
            <w:pPr>
              <w:rPr>
                <w:rFonts w:ascii="Calibri" w:hAnsi="Calibri" w:cs="Calibri"/>
                <w:sz w:val="20"/>
                <w:szCs w:val="20"/>
              </w:rPr>
            </w:pPr>
            <w:r w:rsidRPr="00240F47">
              <w:rPr>
                <w:rFonts w:ascii="Calibri" w:hAnsi="Calibri" w:cs="Calibri"/>
                <w:sz w:val="20"/>
                <w:szCs w:val="20"/>
              </w:rPr>
              <w:t>Moderate influence (Evidence increased understanding of nanotechnology, and how to appraise it).</w:t>
            </w:r>
          </w:p>
        </w:tc>
        <w:tc>
          <w:tcPr>
            <w:tcW w:w="1502" w:type="dxa"/>
            <w:tcBorders>
              <w:top w:val="nil"/>
              <w:left w:val="nil"/>
              <w:bottom w:val="single" w:sz="4" w:space="0" w:color="auto"/>
              <w:right w:val="single" w:sz="4" w:space="0" w:color="auto"/>
            </w:tcBorders>
            <w:shd w:val="clear" w:color="auto" w:fill="auto"/>
            <w:vAlign w:val="center"/>
          </w:tcPr>
          <w:p w:rsidR="00D9500A" w:rsidRPr="00240F47" w:rsidRDefault="00D9500A" w:rsidP="00587091">
            <w:pPr>
              <w:rPr>
                <w:rFonts w:ascii="Calibri" w:hAnsi="Calibri" w:cs="Calibri"/>
                <w:sz w:val="20"/>
                <w:szCs w:val="20"/>
              </w:rPr>
            </w:pPr>
            <w:r w:rsidRPr="00240F47">
              <w:rPr>
                <w:rFonts w:ascii="Calibri" w:hAnsi="Calibri" w:cs="Calibri"/>
                <w:sz w:val="20"/>
                <w:szCs w:val="20"/>
              </w:rPr>
              <w:t>Crime &amp; Health</w:t>
            </w:r>
          </w:p>
        </w:tc>
        <w:tc>
          <w:tcPr>
            <w:tcW w:w="2665" w:type="dxa"/>
            <w:tcBorders>
              <w:top w:val="nil"/>
              <w:left w:val="nil"/>
              <w:bottom w:val="single" w:sz="4" w:space="0" w:color="auto"/>
              <w:right w:val="single" w:sz="4" w:space="0" w:color="auto"/>
            </w:tcBorders>
            <w:shd w:val="clear" w:color="auto" w:fill="auto"/>
            <w:vAlign w:val="center"/>
          </w:tcPr>
          <w:p w:rsidR="00D9500A" w:rsidRPr="00240F47" w:rsidRDefault="00D9500A" w:rsidP="00587091">
            <w:pPr>
              <w:rPr>
                <w:rFonts w:ascii="Calibri" w:hAnsi="Calibri" w:cs="Calibri"/>
                <w:sz w:val="20"/>
                <w:szCs w:val="20"/>
              </w:rPr>
            </w:pPr>
            <w:r w:rsidRPr="00240F47">
              <w:rPr>
                <w:rFonts w:ascii="Calibri" w:hAnsi="Calibri" w:cs="Calibri"/>
                <w:sz w:val="20"/>
                <w:szCs w:val="20"/>
              </w:rPr>
              <w:t>Influence on policy/ practice debate</w:t>
            </w:r>
          </w:p>
        </w:tc>
        <w:tc>
          <w:tcPr>
            <w:tcW w:w="2551" w:type="dxa"/>
            <w:tcBorders>
              <w:top w:val="nil"/>
              <w:left w:val="single" w:sz="4" w:space="0" w:color="auto"/>
              <w:bottom w:val="single" w:sz="4" w:space="0" w:color="auto"/>
              <w:right w:val="single" w:sz="4" w:space="0" w:color="auto"/>
            </w:tcBorders>
            <w:shd w:val="clear" w:color="auto" w:fill="auto"/>
            <w:vAlign w:val="center"/>
          </w:tcPr>
          <w:p w:rsidR="00D9500A" w:rsidRPr="00240F47" w:rsidRDefault="00D9500A" w:rsidP="00587091">
            <w:pPr>
              <w:rPr>
                <w:rFonts w:ascii="Calibri" w:hAnsi="Calibri" w:cs="Calibri"/>
                <w:sz w:val="20"/>
                <w:szCs w:val="20"/>
              </w:rPr>
            </w:pPr>
            <w:r>
              <w:rPr>
                <w:rFonts w:ascii="Calibri" w:hAnsi="Calibri" w:cs="Calibri"/>
                <w:sz w:val="20"/>
                <w:szCs w:val="20"/>
              </w:rPr>
              <w:t xml:space="preserve">Rogers-Hayden &amp; Pidgeon </w:t>
            </w:r>
            <w:r w:rsidRPr="00240F47">
              <w:rPr>
                <w:rFonts w:ascii="Calibri" w:hAnsi="Calibri" w:cs="Calibri"/>
                <w:sz w:val="20"/>
                <w:szCs w:val="20"/>
              </w:rPr>
              <w:t>(2006)</w:t>
            </w:r>
          </w:p>
        </w:tc>
      </w:tr>
    </w:tbl>
    <w:p w:rsidR="00A965E4" w:rsidRPr="00A676F7" w:rsidRDefault="00A965E4" w:rsidP="00A676F7">
      <w:pPr>
        <w:jc w:val="both"/>
        <w:rPr>
          <w:i/>
          <w:sz w:val="24"/>
          <w:szCs w:val="24"/>
          <w:lang w:val="it-IT"/>
        </w:rPr>
      </w:pPr>
    </w:p>
    <w:tbl>
      <w:tblPr>
        <w:tblStyle w:val="TableGrid"/>
        <w:tblW w:w="0" w:type="auto"/>
        <w:shd w:val="clear" w:color="auto" w:fill="ABD9F8" w:themeFill="accent1" w:themeFillTint="66"/>
        <w:tblLook w:val="04A0" w:firstRow="1" w:lastRow="0" w:firstColumn="1" w:lastColumn="0" w:noHBand="0" w:noVBand="1"/>
      </w:tblPr>
      <w:tblGrid>
        <w:gridCol w:w="9016"/>
      </w:tblGrid>
      <w:tr w:rsidR="00D9500A" w:rsidTr="00587091">
        <w:tc>
          <w:tcPr>
            <w:tcW w:w="9016" w:type="dxa"/>
            <w:shd w:val="clear" w:color="auto" w:fill="ABD9F8" w:themeFill="accent1" w:themeFillTint="66"/>
          </w:tcPr>
          <w:p w:rsidR="00D9500A" w:rsidRPr="00F2341B" w:rsidRDefault="00D9500A" w:rsidP="00587091">
            <w:pPr>
              <w:jc w:val="both"/>
              <w:rPr>
                <w:b/>
                <w:sz w:val="24"/>
                <w:szCs w:val="24"/>
              </w:rPr>
            </w:pPr>
            <w:r w:rsidRPr="00F2341B">
              <w:rPr>
                <w:b/>
                <w:sz w:val="24"/>
                <w:szCs w:val="24"/>
              </w:rPr>
              <w:t>Deliberative Poll</w:t>
            </w:r>
            <w:r>
              <w:rPr>
                <w:b/>
                <w:sz w:val="24"/>
                <w:szCs w:val="24"/>
              </w:rPr>
              <w:t xml:space="preserve"> on the Future of Schools</w:t>
            </w:r>
            <w:r w:rsidRPr="00F2341B">
              <w:rPr>
                <w:b/>
                <w:sz w:val="24"/>
                <w:szCs w:val="24"/>
              </w:rPr>
              <w:t xml:space="preserve">, </w:t>
            </w:r>
            <w:proofErr w:type="spellStart"/>
            <w:r w:rsidRPr="00F2341B">
              <w:rPr>
                <w:b/>
                <w:sz w:val="24"/>
                <w:szCs w:val="24"/>
              </w:rPr>
              <w:t>Omagh</w:t>
            </w:r>
            <w:proofErr w:type="spellEnd"/>
            <w:r w:rsidRPr="00F2341B">
              <w:rPr>
                <w:b/>
                <w:sz w:val="24"/>
                <w:szCs w:val="24"/>
              </w:rPr>
              <w:t>, 2007</w:t>
            </w:r>
          </w:p>
          <w:p w:rsidR="00D9500A" w:rsidRDefault="00D9500A" w:rsidP="00587091">
            <w:pPr>
              <w:jc w:val="both"/>
              <w:rPr>
                <w:b/>
              </w:rPr>
            </w:pPr>
          </w:p>
          <w:p w:rsidR="00D9500A" w:rsidRDefault="00D9500A" w:rsidP="00587091">
            <w:pPr>
              <w:jc w:val="both"/>
              <w:rPr>
                <w:b/>
              </w:rPr>
            </w:pPr>
            <w:r>
              <w:rPr>
                <w:b/>
              </w:rPr>
              <w:t>Background</w:t>
            </w:r>
          </w:p>
          <w:p w:rsidR="00D9500A" w:rsidRPr="00871B93" w:rsidRDefault="00D9500A" w:rsidP="00587091">
            <w:pPr>
              <w:jc w:val="both"/>
            </w:pPr>
            <w:r>
              <w:t xml:space="preserve">On 27 January 2007, a </w:t>
            </w:r>
            <w:r w:rsidRPr="003105EC">
              <w:t xml:space="preserve">Deliberative Poll </w:t>
            </w:r>
            <w:r>
              <w:t xml:space="preserve">was held in </w:t>
            </w:r>
            <w:proofErr w:type="spellStart"/>
            <w:r>
              <w:t>Omagh</w:t>
            </w:r>
            <w:proofErr w:type="spellEnd"/>
            <w:r>
              <w:t xml:space="preserve"> </w:t>
            </w:r>
            <w:r w:rsidRPr="003105EC">
              <w:t>on the future of local schools</w:t>
            </w:r>
            <w:r w:rsidRPr="003105EC">
              <w:tab/>
            </w:r>
            <w:r>
              <w:t xml:space="preserve">. The mini-public was attended by 127 people, drawn from a random sample of parents who were interviewed to assess their suitability </w:t>
            </w:r>
            <w:r w:rsidRPr="00871B93">
              <w:t>(Luskin et al. 2014)</w:t>
            </w:r>
            <w:r>
              <w:t xml:space="preserve">. </w:t>
            </w:r>
          </w:p>
          <w:p w:rsidR="00D9500A" w:rsidRPr="00871B93" w:rsidRDefault="00D9500A" w:rsidP="00587091">
            <w:pPr>
              <w:jc w:val="both"/>
            </w:pPr>
          </w:p>
          <w:p w:rsidR="00D9500A" w:rsidRDefault="00D9500A" w:rsidP="00587091">
            <w:pPr>
              <w:jc w:val="both"/>
              <w:rPr>
                <w:b/>
              </w:rPr>
            </w:pPr>
            <w:r>
              <w:rPr>
                <w:b/>
              </w:rPr>
              <w:t xml:space="preserve">Use of Witnesses </w:t>
            </w:r>
          </w:p>
          <w:p w:rsidR="00D9500A" w:rsidRPr="00871B93" w:rsidRDefault="00D9500A" w:rsidP="00587091">
            <w:pPr>
              <w:jc w:val="both"/>
            </w:pPr>
            <w:r w:rsidRPr="003105EC">
              <w:t xml:space="preserve">It is not clear how many witnesses took part, but we know the witnesses </w:t>
            </w:r>
            <w:r>
              <w:t xml:space="preserve">comprised representatives of all the organisations responsible for managing </w:t>
            </w:r>
            <w:proofErr w:type="spellStart"/>
            <w:r>
              <w:t>Omagh’s</w:t>
            </w:r>
            <w:proofErr w:type="spellEnd"/>
            <w:r>
              <w:t xml:space="preserve"> school, and included the </w:t>
            </w:r>
            <w:r w:rsidRPr="003105EC">
              <w:t>Department of Education, the Council for Catholic Maintained Schools, the Northern Ireland Council for Integrated Education, the Western and Library Board, Council for Irish Language Schools, and Christian Brother</w:t>
            </w:r>
            <w:r>
              <w:t xml:space="preserve">s. It is not clear how the representatives from these organisations were selected </w:t>
            </w:r>
            <w:r w:rsidRPr="00871B93">
              <w:t>(Luskin et al. 2014).</w:t>
            </w:r>
            <w:r>
              <w:t xml:space="preserve"> They were selected by the organisers to ensure a range of views and expertise on the topic.</w:t>
            </w:r>
          </w:p>
          <w:p w:rsidR="00D9500A" w:rsidRPr="00871B93" w:rsidRDefault="00D9500A" w:rsidP="00587091">
            <w:pPr>
              <w:jc w:val="both"/>
            </w:pPr>
          </w:p>
          <w:p w:rsidR="00D9500A" w:rsidRDefault="00D9500A" w:rsidP="00587091">
            <w:pPr>
              <w:jc w:val="both"/>
              <w:rPr>
                <w:b/>
              </w:rPr>
            </w:pPr>
            <w:r>
              <w:rPr>
                <w:b/>
              </w:rPr>
              <w:t xml:space="preserve">Use of Evidence </w:t>
            </w:r>
          </w:p>
          <w:p w:rsidR="00D9500A" w:rsidRDefault="00D9500A" w:rsidP="00587091">
            <w:pPr>
              <w:jc w:val="both"/>
              <w:rPr>
                <w:rFonts w:ascii="Calibri" w:eastAsia="Times New Roman" w:hAnsi="Calibri" w:cs="Calibri"/>
                <w:color w:val="000000"/>
                <w:lang w:eastAsia="en-GB"/>
              </w:rPr>
            </w:pPr>
            <w:r>
              <w:t xml:space="preserve">Ahead of the event, </w:t>
            </w:r>
            <w:r>
              <w:rPr>
                <w:rFonts w:ascii="Calibri" w:eastAsia="Times New Roman" w:hAnsi="Calibri" w:cs="Calibri"/>
                <w:color w:val="000000"/>
                <w:lang w:eastAsia="en-GB"/>
              </w:rPr>
              <w:t>citizens</w:t>
            </w:r>
            <w:r w:rsidRPr="00676508">
              <w:rPr>
                <w:rFonts w:ascii="Calibri" w:eastAsia="Times New Roman" w:hAnsi="Calibri" w:cs="Calibri"/>
                <w:color w:val="000000"/>
                <w:lang w:eastAsia="en-GB"/>
              </w:rPr>
              <w:t xml:space="preserve"> were sent briefing documents conveying relevant information, outlining the policy options and sketching the arguments for and against them</w:t>
            </w:r>
            <w:r>
              <w:rPr>
                <w:rFonts w:ascii="Calibri" w:eastAsia="Times New Roman" w:hAnsi="Calibri" w:cs="Calibri"/>
                <w:color w:val="000000"/>
                <w:lang w:eastAsia="en-GB"/>
              </w:rPr>
              <w:t xml:space="preserve"> </w:t>
            </w:r>
            <w:r w:rsidRPr="00871B93">
              <w:t>(Luskin et al. 2014).</w:t>
            </w:r>
          </w:p>
          <w:p w:rsidR="00D9500A" w:rsidRDefault="00D9500A" w:rsidP="00587091">
            <w:pPr>
              <w:jc w:val="both"/>
              <w:rPr>
                <w:rFonts w:ascii="Calibri" w:eastAsia="Times New Roman" w:hAnsi="Calibri" w:cs="Calibri"/>
                <w:color w:val="000000"/>
                <w:lang w:eastAsia="en-GB"/>
              </w:rPr>
            </w:pPr>
            <w:r>
              <w:rPr>
                <w:rFonts w:ascii="Calibri" w:eastAsia="Times New Roman" w:hAnsi="Calibri" w:cs="Calibri"/>
                <w:color w:val="000000"/>
                <w:lang w:eastAsia="en-GB"/>
              </w:rPr>
              <w:t>During the deliberative poll, t</w:t>
            </w:r>
            <w:r w:rsidRPr="003105EC">
              <w:t xml:space="preserve">he evidence was presented in </w:t>
            </w:r>
            <w:r>
              <w:t>w</w:t>
            </w:r>
            <w:r w:rsidRPr="003105EC">
              <w:t>ritten reports</w:t>
            </w:r>
            <w:r>
              <w:t xml:space="preserve"> and</w:t>
            </w:r>
            <w:r w:rsidRPr="003105EC">
              <w:t xml:space="preserve"> panel sessions</w:t>
            </w:r>
            <w:r>
              <w:t xml:space="preserve">. </w:t>
            </w:r>
            <w:r w:rsidRPr="00676508">
              <w:rPr>
                <w:rFonts w:ascii="Calibri" w:eastAsia="Times New Roman" w:hAnsi="Calibri" w:cs="Calibri"/>
                <w:color w:val="000000"/>
                <w:lang w:eastAsia="en-GB"/>
              </w:rPr>
              <w:t xml:space="preserve">The discussions took place in randomly assigned small groups, numbering about ten participants apiece. The small group sessions were alternated with panel sessions, providing the participants with the </w:t>
            </w:r>
            <w:r w:rsidRPr="00676508">
              <w:rPr>
                <w:rFonts w:ascii="Calibri" w:eastAsia="Times New Roman" w:hAnsi="Calibri" w:cs="Calibri"/>
                <w:color w:val="000000"/>
                <w:lang w:eastAsia="en-GB"/>
              </w:rPr>
              <w:lastRenderedPageBreak/>
              <w:t>opportunity to question panels of policy experts and policymakers</w:t>
            </w:r>
            <w:r>
              <w:rPr>
                <w:rFonts w:ascii="Calibri" w:eastAsia="Times New Roman" w:hAnsi="Calibri" w:cs="Calibri"/>
                <w:color w:val="000000"/>
                <w:lang w:eastAsia="en-GB"/>
              </w:rPr>
              <w:t xml:space="preserve"> </w:t>
            </w:r>
            <w:r w:rsidRPr="00871B93">
              <w:t>(Luskin et al. 2014).</w:t>
            </w:r>
            <w:r>
              <w:t xml:space="preserve"> The mini-public influenced the participants. Luskin et al. (2014 p. 117) reported that, ‘</w:t>
            </w:r>
            <w:r w:rsidRPr="003105EC">
              <w:rPr>
                <w:rFonts w:ascii="Calibri" w:eastAsia="Times New Roman" w:hAnsi="Calibri" w:cs="Calibri"/>
                <w:color w:val="000000"/>
                <w:lang w:eastAsia="en-GB"/>
              </w:rPr>
              <w:t>Once assembled, moreover the participants did deliberate. They ex</w:t>
            </w:r>
            <w:r>
              <w:rPr>
                <w:rFonts w:ascii="Calibri" w:eastAsia="Times New Roman" w:hAnsi="Calibri" w:cs="Calibri"/>
                <w:color w:val="000000"/>
                <w:lang w:eastAsia="en-GB"/>
              </w:rPr>
              <w:t>c</w:t>
            </w:r>
            <w:r w:rsidRPr="003105EC">
              <w:rPr>
                <w:rFonts w:ascii="Calibri" w:eastAsia="Times New Roman" w:hAnsi="Calibri" w:cs="Calibri"/>
                <w:color w:val="000000"/>
                <w:lang w:eastAsia="en-GB"/>
              </w:rPr>
              <w:t>hanged views. They learned about the issues</w:t>
            </w:r>
            <w:r>
              <w:rPr>
                <w:rFonts w:ascii="Calibri" w:eastAsia="Times New Roman" w:hAnsi="Calibri" w:cs="Calibri"/>
                <w:color w:val="000000"/>
                <w:lang w:eastAsia="en-GB"/>
              </w:rPr>
              <w:t>’.</w:t>
            </w:r>
          </w:p>
          <w:p w:rsidR="00D9500A" w:rsidRPr="003105EC" w:rsidRDefault="00D9500A" w:rsidP="00587091">
            <w:pPr>
              <w:jc w:val="both"/>
            </w:pPr>
          </w:p>
          <w:p w:rsidR="00D9500A" w:rsidRPr="00871B93" w:rsidRDefault="00D9500A" w:rsidP="00587091">
            <w:pPr>
              <w:jc w:val="both"/>
              <w:rPr>
                <w:b/>
              </w:rPr>
            </w:pPr>
            <w:r w:rsidRPr="00871B93">
              <w:t xml:space="preserve">The deliberative poll influenced policy. Luskin et al.’s review analysed the ways deliberative polls could be used to foster political and social cohesion. The research found that deliberative polls can </w:t>
            </w:r>
            <w:r>
              <w:t>play a part in enabling</w:t>
            </w:r>
            <w:r w:rsidRPr="00871B93">
              <w:t xml:space="preserve"> a more conciliatory politics, they can encourage politicians to work together, and can ‘undercut the positions of hardliners decrying compromise as a sell-out,’ and help foster constructive dialogue between communities in deeply divided societies (Luskin et al. 2014</w:t>
            </w:r>
            <w:r>
              <w:t xml:space="preserve"> p. 133</w:t>
            </w:r>
            <w:r w:rsidRPr="00871B93">
              <w:t xml:space="preserve">). </w:t>
            </w:r>
            <w:r>
              <w:t xml:space="preserve">Luskin et al. (2014 p. 133) argue that deliberative polls “show that </w:t>
            </w:r>
            <w:r w:rsidRPr="00676508">
              <w:t>civil, constructive discussion between communities is not only possible but fruitful - and an aid to mutual understanding. Even in deeply divided societies, it seems, mass deliberation, structured in this fashion, can be helpful".</w:t>
            </w:r>
          </w:p>
          <w:p w:rsidR="00D9500A" w:rsidRDefault="00D9500A" w:rsidP="00587091">
            <w:pPr>
              <w:jc w:val="both"/>
            </w:pPr>
          </w:p>
          <w:p w:rsidR="00D9500A" w:rsidRPr="00152728" w:rsidRDefault="00D9500A" w:rsidP="00587091">
            <w:pPr>
              <w:jc w:val="both"/>
              <w:rPr>
                <w:b/>
              </w:rPr>
            </w:pPr>
            <w:r>
              <w:rPr>
                <w:b/>
              </w:rPr>
              <w:t>Merits Future Research</w:t>
            </w:r>
          </w:p>
          <w:p w:rsidR="00D9500A" w:rsidRDefault="00D9500A" w:rsidP="00587091">
            <w:pPr>
              <w:jc w:val="both"/>
            </w:pPr>
            <w:r w:rsidRPr="00871B93">
              <w:t>Th</w:t>
            </w:r>
            <w:r>
              <w:t>is</w:t>
            </w:r>
            <w:r w:rsidRPr="00871B93">
              <w:t xml:space="preserve"> deliberative poll on education represents an interesting case in a deeply divided political environment</w:t>
            </w:r>
            <w:r>
              <w:t xml:space="preserve"> to see if mini-publics can assist evidence based policy-making in such environments</w:t>
            </w:r>
            <w:r w:rsidRPr="00871B93">
              <w:t xml:space="preserve">. We have also seen limited cases of deliberative polls in </w:t>
            </w:r>
            <w:r>
              <w:t>social</w:t>
            </w:r>
            <w:r w:rsidRPr="00871B93">
              <w:t xml:space="preserve"> policy (Luskin et al. 2014).</w:t>
            </w:r>
          </w:p>
        </w:tc>
      </w:tr>
    </w:tbl>
    <w:p w:rsidR="005A5D6A" w:rsidRDefault="005A5D6A" w:rsidP="00E54D55">
      <w:pPr>
        <w:jc w:val="both"/>
        <w:rPr>
          <w:b/>
          <w:color w:val="0B5484" w:themeColor="accent1" w:themeShade="80"/>
          <w:sz w:val="36"/>
          <w:szCs w:val="36"/>
        </w:rPr>
      </w:pPr>
    </w:p>
    <w:p w:rsidR="00D9500A" w:rsidRDefault="00D9500A" w:rsidP="00E54D55">
      <w:pPr>
        <w:jc w:val="both"/>
        <w:rPr>
          <w:b/>
          <w:color w:val="0B5484" w:themeColor="accent1" w:themeShade="80"/>
          <w:sz w:val="36"/>
          <w:szCs w:val="36"/>
        </w:rPr>
      </w:pPr>
    </w:p>
    <w:p w:rsidR="00D9500A" w:rsidRDefault="00D9500A" w:rsidP="00E54D55">
      <w:pPr>
        <w:jc w:val="both"/>
        <w:rPr>
          <w:b/>
          <w:color w:val="0B5484" w:themeColor="accent1" w:themeShade="80"/>
          <w:sz w:val="36"/>
          <w:szCs w:val="36"/>
        </w:rPr>
      </w:pPr>
    </w:p>
    <w:p w:rsidR="00D9500A" w:rsidRDefault="00D9500A" w:rsidP="00E54D55">
      <w:pPr>
        <w:jc w:val="both"/>
        <w:rPr>
          <w:b/>
          <w:color w:val="0B5484" w:themeColor="accent1" w:themeShade="80"/>
          <w:sz w:val="36"/>
          <w:szCs w:val="36"/>
        </w:rPr>
      </w:pPr>
    </w:p>
    <w:p w:rsidR="00D9500A" w:rsidRDefault="00D9500A" w:rsidP="00E54D55">
      <w:pPr>
        <w:jc w:val="both"/>
        <w:rPr>
          <w:b/>
          <w:color w:val="0B5484" w:themeColor="accent1" w:themeShade="80"/>
          <w:sz w:val="36"/>
          <w:szCs w:val="36"/>
        </w:rPr>
      </w:pPr>
    </w:p>
    <w:p w:rsidR="00D9500A" w:rsidRDefault="00D9500A" w:rsidP="00E54D55">
      <w:pPr>
        <w:jc w:val="both"/>
        <w:rPr>
          <w:b/>
          <w:color w:val="0B5484" w:themeColor="accent1" w:themeShade="80"/>
          <w:sz w:val="36"/>
          <w:szCs w:val="36"/>
        </w:rPr>
      </w:pPr>
    </w:p>
    <w:p w:rsidR="00D9500A" w:rsidRDefault="00D9500A" w:rsidP="00E54D55">
      <w:pPr>
        <w:jc w:val="both"/>
        <w:rPr>
          <w:b/>
          <w:color w:val="0B5484" w:themeColor="accent1" w:themeShade="80"/>
          <w:sz w:val="36"/>
          <w:szCs w:val="36"/>
        </w:rPr>
      </w:pPr>
    </w:p>
    <w:p w:rsidR="00D9500A" w:rsidRDefault="00D9500A" w:rsidP="00E54D55">
      <w:pPr>
        <w:jc w:val="both"/>
        <w:rPr>
          <w:b/>
          <w:color w:val="0B5484" w:themeColor="accent1" w:themeShade="80"/>
          <w:sz w:val="36"/>
          <w:szCs w:val="36"/>
        </w:rPr>
      </w:pPr>
    </w:p>
    <w:p w:rsidR="00D9500A" w:rsidRDefault="00D9500A" w:rsidP="00E54D55">
      <w:pPr>
        <w:jc w:val="both"/>
        <w:rPr>
          <w:b/>
          <w:color w:val="0B5484" w:themeColor="accent1" w:themeShade="80"/>
          <w:sz w:val="36"/>
          <w:szCs w:val="36"/>
        </w:rPr>
      </w:pPr>
    </w:p>
    <w:p w:rsidR="00D9500A" w:rsidRDefault="00D9500A" w:rsidP="00E54D55">
      <w:pPr>
        <w:jc w:val="both"/>
        <w:rPr>
          <w:b/>
          <w:color w:val="0B5484" w:themeColor="accent1" w:themeShade="80"/>
          <w:sz w:val="36"/>
          <w:szCs w:val="36"/>
        </w:rPr>
      </w:pPr>
    </w:p>
    <w:p w:rsidR="00D9500A" w:rsidRDefault="00D9500A" w:rsidP="00E54D55">
      <w:pPr>
        <w:jc w:val="both"/>
        <w:rPr>
          <w:b/>
          <w:color w:val="0B5484" w:themeColor="accent1" w:themeShade="80"/>
          <w:sz w:val="36"/>
          <w:szCs w:val="36"/>
        </w:rPr>
      </w:pPr>
    </w:p>
    <w:p w:rsidR="00D9500A" w:rsidRDefault="00D9500A" w:rsidP="00E54D55">
      <w:pPr>
        <w:jc w:val="both"/>
        <w:rPr>
          <w:b/>
          <w:color w:val="0B5484" w:themeColor="accent1" w:themeShade="80"/>
          <w:sz w:val="36"/>
          <w:szCs w:val="36"/>
        </w:rPr>
      </w:pPr>
    </w:p>
    <w:p w:rsidR="00D9500A" w:rsidRDefault="00D9500A" w:rsidP="00E54D55">
      <w:pPr>
        <w:jc w:val="both"/>
        <w:rPr>
          <w:b/>
          <w:color w:val="0B5484" w:themeColor="accent1" w:themeShade="80"/>
          <w:sz w:val="36"/>
          <w:szCs w:val="36"/>
        </w:rPr>
      </w:pPr>
    </w:p>
    <w:p w:rsidR="00D9500A" w:rsidRDefault="00D9500A" w:rsidP="00E54D55">
      <w:pPr>
        <w:jc w:val="both"/>
        <w:rPr>
          <w:b/>
          <w:color w:val="0B5484" w:themeColor="accent1" w:themeShade="80"/>
          <w:sz w:val="36"/>
          <w:szCs w:val="36"/>
        </w:rPr>
      </w:pPr>
    </w:p>
    <w:p w:rsidR="00D9500A" w:rsidRDefault="00D9500A" w:rsidP="00E54D55">
      <w:pPr>
        <w:jc w:val="both"/>
        <w:rPr>
          <w:b/>
          <w:color w:val="0B5484" w:themeColor="accent1" w:themeShade="80"/>
          <w:sz w:val="36"/>
          <w:szCs w:val="36"/>
        </w:rPr>
      </w:pPr>
    </w:p>
    <w:p w:rsidR="00D9500A" w:rsidRDefault="00D9500A" w:rsidP="00E54D55">
      <w:pPr>
        <w:jc w:val="both"/>
        <w:rPr>
          <w:b/>
          <w:color w:val="0B5484" w:themeColor="accent1" w:themeShade="80"/>
          <w:sz w:val="36"/>
          <w:szCs w:val="36"/>
        </w:rPr>
      </w:pPr>
    </w:p>
    <w:p w:rsidR="00D9500A" w:rsidRDefault="00D9500A" w:rsidP="00E54D55">
      <w:pPr>
        <w:jc w:val="both"/>
        <w:rPr>
          <w:b/>
          <w:color w:val="0B5484" w:themeColor="accent1" w:themeShade="80"/>
          <w:sz w:val="36"/>
          <w:szCs w:val="36"/>
        </w:rPr>
      </w:pPr>
    </w:p>
    <w:p w:rsidR="00D9500A" w:rsidRDefault="00D9500A" w:rsidP="00E54D55">
      <w:pPr>
        <w:jc w:val="both"/>
        <w:rPr>
          <w:b/>
          <w:color w:val="0B5484" w:themeColor="accent1" w:themeShade="80"/>
          <w:sz w:val="36"/>
          <w:szCs w:val="36"/>
        </w:rPr>
      </w:pPr>
    </w:p>
    <w:p w:rsidR="00E54D55" w:rsidRDefault="00E54D55" w:rsidP="00E54D55">
      <w:pPr>
        <w:jc w:val="both"/>
        <w:rPr>
          <w:b/>
          <w:color w:val="0B5484" w:themeColor="accent1" w:themeShade="80"/>
          <w:sz w:val="36"/>
          <w:szCs w:val="36"/>
        </w:rPr>
      </w:pPr>
      <w:r>
        <w:rPr>
          <w:b/>
          <w:color w:val="0B5484" w:themeColor="accent1" w:themeShade="80"/>
          <w:sz w:val="36"/>
          <w:szCs w:val="36"/>
        </w:rPr>
        <w:t>Overview of Cases</w:t>
      </w:r>
    </w:p>
    <w:p w:rsidR="00B4400E" w:rsidRDefault="00B4400E" w:rsidP="00E54D55">
      <w:pPr>
        <w:jc w:val="both"/>
        <w:rPr>
          <w:sz w:val="24"/>
          <w:szCs w:val="24"/>
        </w:rPr>
      </w:pPr>
      <w:r>
        <w:rPr>
          <w:sz w:val="24"/>
          <w:szCs w:val="24"/>
        </w:rPr>
        <w:t xml:space="preserve">This section moves away from country by country analysis to look at general trends across all the cases around the three research questions outlined earlier in the report. It commences by noting some limitations of the study. </w:t>
      </w:r>
    </w:p>
    <w:p w:rsidR="0096372A" w:rsidRDefault="0096372A" w:rsidP="00E54D55">
      <w:pPr>
        <w:jc w:val="both"/>
        <w:rPr>
          <w:sz w:val="24"/>
          <w:szCs w:val="24"/>
        </w:rPr>
      </w:pPr>
      <w:r>
        <w:rPr>
          <w:sz w:val="24"/>
          <w:szCs w:val="24"/>
        </w:rPr>
        <w:t>Although we found 4</w:t>
      </w:r>
      <w:r w:rsidR="00022C75">
        <w:rPr>
          <w:sz w:val="24"/>
          <w:szCs w:val="24"/>
        </w:rPr>
        <w:t>9</w:t>
      </w:r>
      <w:r>
        <w:rPr>
          <w:sz w:val="24"/>
          <w:szCs w:val="24"/>
        </w:rPr>
        <w:t xml:space="preserve"> cases to form the basis of our analysis it is a fair assumption that there are more that the search strategy failed to identify as it was reliant on academic coverage of the cases. There will likely be other mini-publics on social policy issues in the selected countries that have only been reported on in the grey literature. We did do additional internet searches to try </w:t>
      </w:r>
      <w:r w:rsidR="00344FD7">
        <w:rPr>
          <w:sz w:val="24"/>
          <w:szCs w:val="24"/>
        </w:rPr>
        <w:t>to</w:t>
      </w:r>
      <w:r>
        <w:rPr>
          <w:sz w:val="24"/>
          <w:szCs w:val="24"/>
        </w:rPr>
        <w:t xml:space="preserve"> identify some </w:t>
      </w:r>
      <w:r w:rsidR="00022C75">
        <w:rPr>
          <w:sz w:val="24"/>
          <w:szCs w:val="24"/>
        </w:rPr>
        <w:t xml:space="preserve">of </w:t>
      </w:r>
      <w:r>
        <w:rPr>
          <w:sz w:val="24"/>
          <w:szCs w:val="24"/>
        </w:rPr>
        <w:t>these, but there are limitations to this approach. In particular, the g</w:t>
      </w:r>
      <w:r w:rsidR="00344FD7">
        <w:rPr>
          <w:sz w:val="24"/>
          <w:szCs w:val="24"/>
        </w:rPr>
        <w:t>r</w:t>
      </w:r>
      <w:r>
        <w:rPr>
          <w:sz w:val="24"/>
          <w:szCs w:val="24"/>
        </w:rPr>
        <w:t>ey literature</w:t>
      </w:r>
      <w:r w:rsidR="00344FD7">
        <w:rPr>
          <w:sz w:val="24"/>
          <w:szCs w:val="24"/>
        </w:rPr>
        <w:t xml:space="preserve"> in Denmark, Finland, France, Germany and the Netherlands covering relevant mini-publics is rarely in English. We expect that this accounts for why we found less cases in these countries. Further research in these countries on this topic would therefore greatly benefit from having speakers of the relevant native languages in the research team. It would also be worth extending the time frame of the research as many pertinent cases occurred prior to 2006. For example, Denmark has been home to the most consensus conferences (Joss and Durant 1995). Some of these addressed social policy issues, but were held before 2006.</w:t>
      </w:r>
    </w:p>
    <w:p w:rsidR="004721EF" w:rsidRPr="005A5D6A" w:rsidRDefault="004721EF" w:rsidP="004721EF">
      <w:pPr>
        <w:pStyle w:val="ListParagraph"/>
        <w:numPr>
          <w:ilvl w:val="0"/>
          <w:numId w:val="16"/>
        </w:numPr>
        <w:jc w:val="both"/>
        <w:rPr>
          <w:b/>
          <w:color w:val="0B5484" w:themeColor="accent1" w:themeShade="80"/>
          <w:sz w:val="24"/>
          <w:szCs w:val="24"/>
        </w:rPr>
      </w:pPr>
      <w:r w:rsidRPr="005A5D6A">
        <w:rPr>
          <w:b/>
          <w:color w:val="0B5484" w:themeColor="accent1" w:themeShade="80"/>
          <w:sz w:val="24"/>
          <w:szCs w:val="24"/>
        </w:rPr>
        <w:t>Assess which types of mini-public have had the most frequent and extensive impact on social policy and practice and how these organisational features influence the citizens’ engagement with evidence.</w:t>
      </w:r>
    </w:p>
    <w:p w:rsidR="004721EF" w:rsidRDefault="004721EF" w:rsidP="00CD433A">
      <w:pPr>
        <w:jc w:val="both"/>
        <w:rPr>
          <w:sz w:val="24"/>
          <w:szCs w:val="24"/>
        </w:rPr>
      </w:pPr>
      <w:r>
        <w:rPr>
          <w:sz w:val="24"/>
          <w:szCs w:val="24"/>
        </w:rPr>
        <w:t>From our sample of 4</w:t>
      </w:r>
      <w:r w:rsidR="00022C75">
        <w:rPr>
          <w:sz w:val="24"/>
          <w:szCs w:val="24"/>
        </w:rPr>
        <w:t>9</w:t>
      </w:r>
      <w:r>
        <w:rPr>
          <w:sz w:val="24"/>
          <w:szCs w:val="24"/>
        </w:rPr>
        <w:t xml:space="preserve"> </w:t>
      </w:r>
      <w:r w:rsidRPr="004721EF">
        <w:rPr>
          <w:sz w:val="24"/>
          <w:szCs w:val="24"/>
        </w:rPr>
        <w:t>we had 2</w:t>
      </w:r>
      <w:r w:rsidR="00022C75">
        <w:rPr>
          <w:sz w:val="24"/>
          <w:szCs w:val="24"/>
        </w:rPr>
        <w:t>5</w:t>
      </w:r>
      <w:r w:rsidRPr="004721EF">
        <w:rPr>
          <w:sz w:val="24"/>
          <w:szCs w:val="24"/>
        </w:rPr>
        <w:t xml:space="preserve"> citizens’ juries, 15 consensus conferences, 6 Citizens’ Assemblies, and 3 deliberative polls.</w:t>
      </w:r>
      <w:r>
        <w:rPr>
          <w:sz w:val="24"/>
          <w:szCs w:val="24"/>
        </w:rPr>
        <w:t xml:space="preserve"> There is nothing to suggest from our case studies that citizens’ juries and consensus conferences are the most numerous because they are the most suitable types of mini-public for social policy and practice. We suspect that they are the most </w:t>
      </w:r>
      <w:r w:rsidR="005A5D6A">
        <w:rPr>
          <w:sz w:val="24"/>
          <w:szCs w:val="24"/>
        </w:rPr>
        <w:t>prevalent types of mini-public</w:t>
      </w:r>
      <w:r>
        <w:rPr>
          <w:sz w:val="24"/>
          <w:szCs w:val="24"/>
        </w:rPr>
        <w:t xml:space="preserve"> across all types of policy area simply because they are the cheapest and easiest to organise due to the small citizen sample assembled. </w:t>
      </w:r>
    </w:p>
    <w:p w:rsidR="00DE2CD5" w:rsidRDefault="004721EF" w:rsidP="00CD433A">
      <w:pPr>
        <w:jc w:val="both"/>
        <w:rPr>
          <w:sz w:val="24"/>
          <w:szCs w:val="24"/>
        </w:rPr>
      </w:pPr>
      <w:r>
        <w:rPr>
          <w:sz w:val="24"/>
          <w:szCs w:val="24"/>
        </w:rPr>
        <w:t>In general, from the available evidence, the majority of the mini-publics failed to achieve any substantive impact on social policy and practice. At best</w:t>
      </w:r>
      <w:r w:rsidR="005A5D6A">
        <w:rPr>
          <w:sz w:val="24"/>
          <w:szCs w:val="24"/>
        </w:rPr>
        <w:t>,</w:t>
      </w:r>
      <w:r>
        <w:rPr>
          <w:sz w:val="24"/>
          <w:szCs w:val="24"/>
        </w:rPr>
        <w:t xml:space="preserve"> they were able to influence the policy and practice debate around the issue. </w:t>
      </w:r>
      <w:r w:rsidR="001212DE">
        <w:rPr>
          <w:sz w:val="24"/>
          <w:szCs w:val="24"/>
        </w:rPr>
        <w:t>No type of mini-public</w:t>
      </w:r>
      <w:r>
        <w:rPr>
          <w:sz w:val="24"/>
          <w:szCs w:val="24"/>
        </w:rPr>
        <w:t xml:space="preserve"> </w:t>
      </w:r>
      <w:r w:rsidR="001212DE">
        <w:rPr>
          <w:sz w:val="24"/>
          <w:szCs w:val="24"/>
        </w:rPr>
        <w:t xml:space="preserve">seemed more capable of delivering impact than others. Rather it was the ties to other institutions and public authorities and administrators that was crucial to gaining the mini-public influence and such concrete ties were rare. Even when such </w:t>
      </w:r>
      <w:r w:rsidR="005A5D6A">
        <w:rPr>
          <w:sz w:val="24"/>
          <w:szCs w:val="24"/>
        </w:rPr>
        <w:t>institutional connections</w:t>
      </w:r>
      <w:r w:rsidR="001212DE">
        <w:rPr>
          <w:sz w:val="24"/>
          <w:szCs w:val="24"/>
        </w:rPr>
        <w:t xml:space="preserve"> were in place e.g. mini-public recommendations discussed in parliament, there was no guarantee of impact being delivered. However, very few of the sources we consulted to glean information on the cases actually discussed the policy and practice impact of the mini-public. </w:t>
      </w:r>
      <w:r w:rsidR="00022C75">
        <w:rPr>
          <w:sz w:val="24"/>
          <w:szCs w:val="24"/>
        </w:rPr>
        <w:t xml:space="preserve">Moreover, the direct cause of a policy is unlikely to be driven by just one agent, but rather multiple. Discerning the extent of influence from a mini-public in relation to other policy actors is likely to require in-depth case analysis </w:t>
      </w:r>
      <w:r w:rsidR="00E869E0">
        <w:rPr>
          <w:sz w:val="24"/>
          <w:szCs w:val="24"/>
        </w:rPr>
        <w:t>to interview key policy actors. It should also be noted, that many mini-publics are run as part of academic research projects, where the ostensible goal is not to influence policy and practice.</w:t>
      </w:r>
    </w:p>
    <w:p w:rsidR="003D7E88" w:rsidRPr="004721EF" w:rsidRDefault="003D7E88" w:rsidP="00CD433A">
      <w:pPr>
        <w:jc w:val="both"/>
        <w:rPr>
          <w:sz w:val="24"/>
          <w:szCs w:val="24"/>
        </w:rPr>
      </w:pPr>
      <w:r>
        <w:rPr>
          <w:sz w:val="24"/>
          <w:szCs w:val="24"/>
        </w:rPr>
        <w:t xml:space="preserve">Similarly, but perhaps more surprisingly, many of the sources did not report on the changes in opinions to the citizens participating in the mini-publics. Where relevant information was provided it appears that, in general, the participants did change some of their views on the issue. However, we cannot conclude from this that this was due to the engagement with experts </w:t>
      </w:r>
      <w:r>
        <w:rPr>
          <w:sz w:val="24"/>
          <w:szCs w:val="24"/>
        </w:rPr>
        <w:lastRenderedPageBreak/>
        <w:t>and evidence afforded by participating in the mini-public</w:t>
      </w:r>
      <w:r w:rsidR="005A5D6A">
        <w:rPr>
          <w:sz w:val="24"/>
          <w:szCs w:val="24"/>
        </w:rPr>
        <w:t>,</w:t>
      </w:r>
      <w:r>
        <w:rPr>
          <w:sz w:val="24"/>
          <w:szCs w:val="24"/>
        </w:rPr>
        <w:t xml:space="preserve"> as only a few of the studies discuss information gains amongst the citizen sample. Although research from mini-publics in other policy areas does indicate that it is expert evidence that is the key driver of opinion change in mini-publics (Thompson et al.</w:t>
      </w:r>
      <w:r w:rsidR="005A5D6A">
        <w:rPr>
          <w:sz w:val="24"/>
          <w:szCs w:val="24"/>
        </w:rPr>
        <w:t xml:space="preserve"> 2015</w:t>
      </w:r>
      <w:r>
        <w:rPr>
          <w:sz w:val="24"/>
          <w:szCs w:val="24"/>
        </w:rPr>
        <w:t xml:space="preserve">). There are no discernible trends </w:t>
      </w:r>
      <w:r w:rsidR="008D1A2D">
        <w:rPr>
          <w:sz w:val="24"/>
          <w:szCs w:val="24"/>
        </w:rPr>
        <w:t xml:space="preserve">to suggest </w:t>
      </w:r>
      <w:r>
        <w:rPr>
          <w:sz w:val="24"/>
          <w:szCs w:val="24"/>
        </w:rPr>
        <w:t>that this is influenced by the type of mini-public, although studies on deliberative polls do seem the most adep</w:t>
      </w:r>
      <w:r w:rsidR="00E869E0">
        <w:rPr>
          <w:sz w:val="24"/>
          <w:szCs w:val="24"/>
        </w:rPr>
        <w:t>t at capturing this information, primarily because this is their principal aim.</w:t>
      </w:r>
      <w:r>
        <w:rPr>
          <w:sz w:val="24"/>
          <w:szCs w:val="24"/>
        </w:rPr>
        <w:t xml:space="preserve"> </w:t>
      </w:r>
    </w:p>
    <w:p w:rsidR="004721EF" w:rsidRPr="004721EF" w:rsidRDefault="004721EF" w:rsidP="004721EF">
      <w:pPr>
        <w:jc w:val="both"/>
        <w:rPr>
          <w:b/>
          <w:sz w:val="24"/>
          <w:szCs w:val="24"/>
        </w:rPr>
      </w:pPr>
    </w:p>
    <w:p w:rsidR="004721EF" w:rsidRPr="005A5D6A" w:rsidRDefault="004721EF" w:rsidP="008D1A2D">
      <w:pPr>
        <w:pStyle w:val="ListParagraph"/>
        <w:numPr>
          <w:ilvl w:val="0"/>
          <w:numId w:val="16"/>
        </w:numPr>
        <w:jc w:val="both"/>
        <w:rPr>
          <w:b/>
          <w:color w:val="0B5484" w:themeColor="accent1" w:themeShade="80"/>
          <w:sz w:val="24"/>
          <w:szCs w:val="24"/>
        </w:rPr>
      </w:pPr>
      <w:r w:rsidRPr="005A5D6A">
        <w:rPr>
          <w:b/>
          <w:color w:val="0B5484" w:themeColor="accent1" w:themeShade="80"/>
          <w:sz w:val="24"/>
          <w:szCs w:val="24"/>
        </w:rPr>
        <w:t>Investigate how the type and recruitment of experts and the presentation of evidence influences citizens’ engagement with evidence in mini-publics and furthermore the perceived legitimacy of the mini-public by policy makers and practitioners.</w:t>
      </w:r>
    </w:p>
    <w:p w:rsidR="00D82D3C" w:rsidRDefault="008D1A2D" w:rsidP="00CD433A">
      <w:pPr>
        <w:jc w:val="both"/>
        <w:rPr>
          <w:sz w:val="24"/>
          <w:szCs w:val="24"/>
        </w:rPr>
      </w:pPr>
      <w:r>
        <w:rPr>
          <w:sz w:val="24"/>
          <w:szCs w:val="24"/>
        </w:rPr>
        <w:t>With respect to the recruitment of witnesses, many of the studies consulted fa</w:t>
      </w:r>
      <w:r w:rsidR="00F074E5">
        <w:rPr>
          <w:sz w:val="24"/>
          <w:szCs w:val="24"/>
        </w:rPr>
        <w:t>iled to detail this information, which is not uncommon (Street et al. 2014).</w:t>
      </w:r>
      <w:r>
        <w:rPr>
          <w:sz w:val="24"/>
          <w:szCs w:val="24"/>
        </w:rPr>
        <w:t xml:space="preserve"> </w:t>
      </w:r>
      <w:r w:rsidR="00D82D3C">
        <w:rPr>
          <w:sz w:val="24"/>
          <w:szCs w:val="24"/>
        </w:rPr>
        <w:t>Where this information was reported</w:t>
      </w:r>
      <w:r>
        <w:rPr>
          <w:sz w:val="24"/>
          <w:szCs w:val="24"/>
        </w:rPr>
        <w:t xml:space="preserve">, it is usually the mini-public organisers </w:t>
      </w:r>
      <w:r w:rsidR="00D82D3C">
        <w:rPr>
          <w:sz w:val="24"/>
          <w:szCs w:val="24"/>
        </w:rPr>
        <w:t>that made the selection. The consequences of this are that</w:t>
      </w:r>
      <w:r w:rsidR="00D82D3C" w:rsidRPr="00D82D3C">
        <w:rPr>
          <w:sz w:val="24"/>
          <w:szCs w:val="24"/>
        </w:rPr>
        <w:t xml:space="preserve"> the discussion can exclude important information and viewpoints from the start. Even if witness selection proceeds with the best of intentions, the mini-public organisers may simply not be the best people to decide what the participants need to know. The mini-public organisers are likely to use their personal networks to recruit witnesses, which might not deliver sufficiently on a diversity of views. Moreover, even if an excellent and diverse </w:t>
      </w:r>
      <w:r w:rsidR="00D82D3C">
        <w:rPr>
          <w:sz w:val="24"/>
          <w:szCs w:val="24"/>
        </w:rPr>
        <w:t>range</w:t>
      </w:r>
      <w:r w:rsidR="00D82D3C" w:rsidRPr="00D82D3C">
        <w:rPr>
          <w:sz w:val="24"/>
          <w:szCs w:val="24"/>
        </w:rPr>
        <w:t xml:space="preserve"> witnesses are selected by the organisers the proce</w:t>
      </w:r>
      <w:r w:rsidR="00D82D3C">
        <w:rPr>
          <w:sz w:val="24"/>
          <w:szCs w:val="24"/>
        </w:rPr>
        <w:t>ss may still be viewed as biased</w:t>
      </w:r>
      <w:r w:rsidR="00D82D3C" w:rsidRPr="00D82D3C">
        <w:rPr>
          <w:sz w:val="24"/>
          <w:szCs w:val="24"/>
        </w:rPr>
        <w:t xml:space="preserve"> and overly manipulated (</w:t>
      </w:r>
      <w:r w:rsidR="00230970">
        <w:rPr>
          <w:sz w:val="24"/>
          <w:szCs w:val="24"/>
          <w:lang w:val="en-US"/>
        </w:rPr>
        <w:t xml:space="preserve">Carson and </w:t>
      </w:r>
      <w:proofErr w:type="spellStart"/>
      <w:r w:rsidR="00230970">
        <w:rPr>
          <w:sz w:val="24"/>
          <w:szCs w:val="24"/>
          <w:lang w:val="en-US"/>
        </w:rPr>
        <w:t>Shecter</w:t>
      </w:r>
      <w:proofErr w:type="spellEnd"/>
      <w:r w:rsidR="00230970">
        <w:rPr>
          <w:sz w:val="24"/>
          <w:szCs w:val="24"/>
          <w:lang w:val="en-US"/>
        </w:rPr>
        <w:t xml:space="preserve"> 2017</w:t>
      </w:r>
      <w:r w:rsidR="00D82D3C" w:rsidRPr="00D82D3C">
        <w:rPr>
          <w:sz w:val="24"/>
          <w:szCs w:val="24"/>
        </w:rPr>
        <w:t>).  Indeed</w:t>
      </w:r>
      <w:r w:rsidR="00D82D3C">
        <w:rPr>
          <w:sz w:val="24"/>
          <w:szCs w:val="24"/>
        </w:rPr>
        <w:t>,</w:t>
      </w:r>
      <w:r w:rsidR="00D82D3C" w:rsidRPr="00D82D3C">
        <w:rPr>
          <w:sz w:val="24"/>
          <w:szCs w:val="24"/>
        </w:rPr>
        <w:t xml:space="preserve"> it is argued that ‘allowing experts to determine the content of deliberations can recreate existing power relationships in how agendas are shaped’ (R</w:t>
      </w:r>
      <w:r w:rsidR="005A5D6A">
        <w:rPr>
          <w:sz w:val="24"/>
          <w:szCs w:val="24"/>
        </w:rPr>
        <w:t xml:space="preserve">oberts </w:t>
      </w:r>
      <w:r w:rsidR="00D82D3C" w:rsidRPr="00D82D3C">
        <w:rPr>
          <w:sz w:val="24"/>
          <w:szCs w:val="24"/>
        </w:rPr>
        <w:t>&amp;</w:t>
      </w:r>
      <w:r w:rsidR="005A5D6A">
        <w:rPr>
          <w:sz w:val="24"/>
          <w:szCs w:val="24"/>
        </w:rPr>
        <w:t xml:space="preserve"> </w:t>
      </w:r>
      <w:r w:rsidR="00D82D3C" w:rsidRPr="00D82D3C">
        <w:rPr>
          <w:sz w:val="24"/>
          <w:szCs w:val="24"/>
        </w:rPr>
        <w:t>L</w:t>
      </w:r>
      <w:r w:rsidR="005A5D6A">
        <w:rPr>
          <w:sz w:val="24"/>
          <w:szCs w:val="24"/>
        </w:rPr>
        <w:t>ightbody 2017</w:t>
      </w:r>
      <w:r w:rsidR="00D82D3C" w:rsidRPr="00D82D3C">
        <w:rPr>
          <w:sz w:val="24"/>
          <w:szCs w:val="24"/>
        </w:rPr>
        <w:t xml:space="preserve">: 2). </w:t>
      </w:r>
    </w:p>
    <w:p w:rsidR="00D82D3C" w:rsidRDefault="00D82D3C" w:rsidP="00CD433A">
      <w:pPr>
        <w:jc w:val="both"/>
        <w:rPr>
          <w:sz w:val="24"/>
          <w:szCs w:val="24"/>
        </w:rPr>
      </w:pPr>
      <w:r>
        <w:rPr>
          <w:sz w:val="24"/>
          <w:szCs w:val="24"/>
        </w:rPr>
        <w:t xml:space="preserve">A few cases where the mini-public participants selected the witnesses were uncovered through the search. </w:t>
      </w:r>
      <w:r w:rsidR="002474E2">
        <w:rPr>
          <w:sz w:val="24"/>
          <w:szCs w:val="24"/>
        </w:rPr>
        <w:t>In these cases</w:t>
      </w:r>
      <w:r>
        <w:rPr>
          <w:sz w:val="24"/>
          <w:szCs w:val="24"/>
        </w:rPr>
        <w:t xml:space="preserve">, it seemed that the participants trusted the evidence provided to a greater extent and perceived it to be more neutral in orientation. </w:t>
      </w:r>
      <w:r w:rsidR="002474E2">
        <w:rPr>
          <w:sz w:val="24"/>
          <w:szCs w:val="24"/>
        </w:rPr>
        <w:t xml:space="preserve">Studies from other policy areas support this conclusion </w:t>
      </w:r>
      <w:r w:rsidR="002474E2" w:rsidRPr="00D82D3C">
        <w:rPr>
          <w:sz w:val="24"/>
          <w:szCs w:val="24"/>
          <w:lang w:val="en-US"/>
        </w:rPr>
        <w:t>(</w:t>
      </w:r>
      <w:proofErr w:type="spellStart"/>
      <w:r w:rsidR="002474E2" w:rsidRPr="00D82D3C">
        <w:rPr>
          <w:sz w:val="24"/>
          <w:szCs w:val="24"/>
          <w:lang w:val="en-US"/>
        </w:rPr>
        <w:t>Gastil</w:t>
      </w:r>
      <w:proofErr w:type="spellEnd"/>
      <w:r w:rsidR="002474E2" w:rsidRPr="00D82D3C">
        <w:rPr>
          <w:sz w:val="24"/>
          <w:szCs w:val="24"/>
          <w:lang w:val="en-US"/>
        </w:rPr>
        <w:t xml:space="preserve"> et al. 2015). </w:t>
      </w:r>
      <w:r>
        <w:rPr>
          <w:sz w:val="24"/>
          <w:szCs w:val="24"/>
        </w:rPr>
        <w:t>In these circumstances, the evidence is then more likely to have an impact on the participants.</w:t>
      </w:r>
      <w:r w:rsidR="002474E2">
        <w:rPr>
          <w:sz w:val="24"/>
          <w:szCs w:val="24"/>
        </w:rPr>
        <w:t xml:space="preserve"> </w:t>
      </w:r>
      <w:r w:rsidR="00CD433A">
        <w:rPr>
          <w:sz w:val="24"/>
          <w:szCs w:val="24"/>
        </w:rPr>
        <w:t xml:space="preserve">However, there was no indication that having the participants select witnesses increased the potential of the mini-public to achieve policy and practice impact. </w:t>
      </w:r>
      <w:r w:rsidRPr="00D82D3C">
        <w:rPr>
          <w:sz w:val="24"/>
          <w:szCs w:val="24"/>
          <w:lang w:val="en-US"/>
        </w:rPr>
        <w:t xml:space="preserve">There are </w:t>
      </w:r>
      <w:r w:rsidR="00CD433A">
        <w:rPr>
          <w:sz w:val="24"/>
          <w:szCs w:val="24"/>
          <w:lang w:val="en-US"/>
        </w:rPr>
        <w:t>also</w:t>
      </w:r>
      <w:r w:rsidRPr="00D82D3C">
        <w:rPr>
          <w:sz w:val="24"/>
          <w:szCs w:val="24"/>
          <w:lang w:val="en-US"/>
        </w:rPr>
        <w:t xml:space="preserve"> issues with having the citi</w:t>
      </w:r>
      <w:r w:rsidR="00CD433A">
        <w:rPr>
          <w:sz w:val="24"/>
          <w:szCs w:val="24"/>
          <w:lang w:val="en-US"/>
        </w:rPr>
        <w:t>zens select the experts</w:t>
      </w:r>
      <w:r w:rsidR="002474E2">
        <w:rPr>
          <w:sz w:val="24"/>
          <w:szCs w:val="24"/>
          <w:lang w:val="en-US"/>
        </w:rPr>
        <w:t>. It i</w:t>
      </w:r>
      <w:r w:rsidRPr="00D82D3C">
        <w:rPr>
          <w:sz w:val="24"/>
          <w:szCs w:val="24"/>
          <w:lang w:val="en-US"/>
        </w:rPr>
        <w:t xml:space="preserve">s not clear how the participants, at the start of the process can determine what they need to know about an issue </w:t>
      </w:r>
      <w:r w:rsidR="002474E2">
        <w:rPr>
          <w:sz w:val="24"/>
          <w:szCs w:val="24"/>
          <w:lang w:val="en-US"/>
        </w:rPr>
        <w:t xml:space="preserve">on which </w:t>
      </w:r>
      <w:r w:rsidRPr="00D82D3C">
        <w:rPr>
          <w:sz w:val="24"/>
          <w:szCs w:val="24"/>
          <w:lang w:val="en-US"/>
        </w:rPr>
        <w:t>they</w:t>
      </w:r>
      <w:r w:rsidR="002474E2">
        <w:rPr>
          <w:sz w:val="24"/>
          <w:szCs w:val="24"/>
          <w:lang w:val="en-US"/>
        </w:rPr>
        <w:t xml:space="preserve"> have little prior experience</w:t>
      </w:r>
      <w:r w:rsidRPr="00D82D3C">
        <w:rPr>
          <w:sz w:val="24"/>
          <w:szCs w:val="24"/>
          <w:lang w:val="en-US"/>
        </w:rPr>
        <w:t>. Consequently, how can they identify the most suitable witnesses to fulfill their learning needs and provide a diversity of views</w:t>
      </w:r>
      <w:r w:rsidR="005A5D6A">
        <w:rPr>
          <w:sz w:val="24"/>
          <w:szCs w:val="24"/>
          <w:lang w:val="en-US"/>
        </w:rPr>
        <w:t>?</w:t>
      </w:r>
      <w:r w:rsidRPr="00D82D3C">
        <w:rPr>
          <w:sz w:val="24"/>
          <w:szCs w:val="24"/>
          <w:lang w:val="en-US"/>
        </w:rPr>
        <w:t xml:space="preserve"> Their heads may therefore be turned by ‘celebrity’ witness, or </w:t>
      </w:r>
      <w:r w:rsidR="00E869E0" w:rsidRPr="00D82D3C">
        <w:rPr>
          <w:sz w:val="24"/>
          <w:szCs w:val="24"/>
          <w:lang w:val="en-US"/>
        </w:rPr>
        <w:t>there</w:t>
      </w:r>
      <w:r w:rsidRPr="00D82D3C">
        <w:rPr>
          <w:sz w:val="24"/>
          <w:szCs w:val="24"/>
          <w:lang w:val="en-US"/>
        </w:rPr>
        <w:t xml:space="preserve"> could be a confirmation bias where they select witnesses that support their already held views (</w:t>
      </w:r>
      <w:r w:rsidR="00230970">
        <w:rPr>
          <w:sz w:val="24"/>
          <w:szCs w:val="24"/>
          <w:lang w:val="en-US"/>
        </w:rPr>
        <w:t xml:space="preserve">Carson and </w:t>
      </w:r>
      <w:proofErr w:type="spellStart"/>
      <w:r w:rsidR="00230970">
        <w:rPr>
          <w:sz w:val="24"/>
          <w:szCs w:val="24"/>
          <w:lang w:val="en-US"/>
        </w:rPr>
        <w:t>Shecter</w:t>
      </w:r>
      <w:proofErr w:type="spellEnd"/>
      <w:r w:rsidR="00230970">
        <w:rPr>
          <w:sz w:val="24"/>
          <w:szCs w:val="24"/>
          <w:lang w:val="en-US"/>
        </w:rPr>
        <w:t xml:space="preserve"> 2017</w:t>
      </w:r>
      <w:r w:rsidRPr="00D82D3C">
        <w:rPr>
          <w:sz w:val="24"/>
          <w:szCs w:val="24"/>
          <w:lang w:val="en-US"/>
        </w:rPr>
        <w:t xml:space="preserve">). In order to avoid manipulation and bias in witness selection </w:t>
      </w:r>
      <w:proofErr w:type="spellStart"/>
      <w:r w:rsidRPr="00D82D3C">
        <w:rPr>
          <w:sz w:val="24"/>
          <w:szCs w:val="24"/>
        </w:rPr>
        <w:t>Böker</w:t>
      </w:r>
      <w:proofErr w:type="spellEnd"/>
      <w:r w:rsidRPr="00D82D3C">
        <w:rPr>
          <w:sz w:val="24"/>
          <w:szCs w:val="24"/>
        </w:rPr>
        <w:t xml:space="preserve"> and Elstub (2015) suggest opening-up mini-publics so that all who want to </w:t>
      </w:r>
      <w:r w:rsidR="002474E2">
        <w:rPr>
          <w:sz w:val="24"/>
          <w:szCs w:val="24"/>
        </w:rPr>
        <w:t>give evidence can</w:t>
      </w:r>
      <w:r w:rsidRPr="00D82D3C">
        <w:rPr>
          <w:sz w:val="24"/>
          <w:szCs w:val="24"/>
        </w:rPr>
        <w:t>. However, this approach has</w:t>
      </w:r>
      <w:r w:rsidR="002474E2">
        <w:rPr>
          <w:sz w:val="24"/>
          <w:szCs w:val="24"/>
        </w:rPr>
        <w:t>,</w:t>
      </w:r>
      <w:r w:rsidRPr="00D82D3C">
        <w:rPr>
          <w:sz w:val="24"/>
          <w:szCs w:val="24"/>
        </w:rPr>
        <w:t xml:space="preserve"> as yet</w:t>
      </w:r>
      <w:r w:rsidR="002474E2">
        <w:rPr>
          <w:sz w:val="24"/>
          <w:szCs w:val="24"/>
        </w:rPr>
        <w:t>,</w:t>
      </w:r>
      <w:r w:rsidRPr="00D82D3C">
        <w:rPr>
          <w:sz w:val="24"/>
          <w:szCs w:val="24"/>
        </w:rPr>
        <w:t xml:space="preserve"> not been trialled</w:t>
      </w:r>
      <w:r w:rsidR="00E869E0">
        <w:rPr>
          <w:sz w:val="24"/>
          <w:szCs w:val="24"/>
        </w:rPr>
        <w:t xml:space="preserve"> in practice</w:t>
      </w:r>
      <w:r w:rsidRPr="00D82D3C">
        <w:rPr>
          <w:sz w:val="24"/>
          <w:szCs w:val="24"/>
        </w:rPr>
        <w:t>.</w:t>
      </w:r>
    </w:p>
    <w:p w:rsidR="00CD433A" w:rsidRDefault="00CD433A" w:rsidP="00CD433A">
      <w:pPr>
        <w:jc w:val="both"/>
        <w:rPr>
          <w:sz w:val="24"/>
          <w:szCs w:val="24"/>
        </w:rPr>
      </w:pPr>
      <w:r>
        <w:rPr>
          <w:sz w:val="24"/>
          <w:szCs w:val="24"/>
        </w:rPr>
        <w:t>In terms of the delivery of evidence to the mini-public participants, once again this is not always reported. From reviewing the cases where this information was available it appears that there is very little experimentation</w:t>
      </w:r>
      <w:r w:rsidR="000D5ED1">
        <w:rPr>
          <w:sz w:val="24"/>
          <w:szCs w:val="24"/>
        </w:rPr>
        <w:t xml:space="preserve"> in this respect. The majority of mini-publics provide evidence through written briefing materials, expert presentations</w:t>
      </w:r>
      <w:r w:rsidR="00F12494">
        <w:rPr>
          <w:sz w:val="24"/>
          <w:szCs w:val="24"/>
        </w:rPr>
        <w:t>,</w:t>
      </w:r>
      <w:r w:rsidR="000D5ED1">
        <w:rPr>
          <w:sz w:val="24"/>
          <w:szCs w:val="24"/>
        </w:rPr>
        <w:t xml:space="preserve"> and question and answer sessions. This format is the norm across all the different types of mini-public. </w:t>
      </w:r>
      <w:r w:rsidR="00F12494">
        <w:rPr>
          <w:sz w:val="24"/>
          <w:szCs w:val="24"/>
        </w:rPr>
        <w:t>There were a few cases, which differed slightly in the evidence provision format with some using videos, but this is not a radical departure.</w:t>
      </w:r>
      <w:r w:rsidR="00B57114">
        <w:rPr>
          <w:sz w:val="24"/>
          <w:szCs w:val="24"/>
        </w:rPr>
        <w:t xml:space="preserve"> The Bayern citizens’ jury was innovative here though. Experts participated along-side citizens in the manner advocated by Brown (2014) and were also given the role of researching specific elements of the topics to present to the rest of the mini-public.</w:t>
      </w:r>
    </w:p>
    <w:p w:rsidR="0096372A" w:rsidRPr="00507AAE" w:rsidRDefault="004721EF" w:rsidP="00F12494">
      <w:pPr>
        <w:pStyle w:val="ListParagraph"/>
        <w:numPr>
          <w:ilvl w:val="0"/>
          <w:numId w:val="16"/>
        </w:numPr>
        <w:jc w:val="both"/>
        <w:rPr>
          <w:b/>
          <w:color w:val="0B5484" w:themeColor="accent1" w:themeShade="80"/>
          <w:sz w:val="24"/>
          <w:szCs w:val="24"/>
        </w:rPr>
      </w:pPr>
      <w:r w:rsidRPr="00507AAE">
        <w:rPr>
          <w:b/>
          <w:color w:val="0B5484" w:themeColor="accent1" w:themeShade="80"/>
          <w:sz w:val="24"/>
          <w:szCs w:val="24"/>
        </w:rPr>
        <w:lastRenderedPageBreak/>
        <w:t>Analyse the extent that certain types of social policy and practice are more open to evidence synthesised by mini-publics than others.</w:t>
      </w:r>
    </w:p>
    <w:p w:rsidR="00F12494" w:rsidRPr="00F12494" w:rsidRDefault="00E869E0" w:rsidP="00F12494">
      <w:pPr>
        <w:jc w:val="both"/>
        <w:rPr>
          <w:sz w:val="24"/>
          <w:szCs w:val="24"/>
        </w:rPr>
      </w:pPr>
      <w:r>
        <w:rPr>
          <w:sz w:val="24"/>
          <w:szCs w:val="24"/>
        </w:rPr>
        <w:t>The majority (34</w:t>
      </w:r>
      <w:r w:rsidR="00F12494">
        <w:rPr>
          <w:sz w:val="24"/>
          <w:szCs w:val="24"/>
        </w:rPr>
        <w:t xml:space="preserve">) of our cases were related to health policy and practice. It is hard to say why there is this dominance but it could be because ‘deliberative inclusive approaches, as a vehicle for citizen engagement, have particular appeal because of the fiscal importance </w:t>
      </w:r>
      <w:r w:rsidR="00F074E5">
        <w:rPr>
          <w:sz w:val="24"/>
          <w:szCs w:val="24"/>
        </w:rPr>
        <w:t xml:space="preserve">of health policy and because health matters touch the lives of citizens very personally’ (Street et al. 2014). </w:t>
      </w:r>
      <w:r w:rsidR="008C30D4">
        <w:rPr>
          <w:sz w:val="24"/>
          <w:szCs w:val="24"/>
        </w:rPr>
        <w:t>However, there seems to be no obvious reason why mini-publics should not be used in other social policy areas too, and there are sufficient cases discussed here from other policy and practice areas to support this conclusion.</w:t>
      </w:r>
    </w:p>
    <w:p w:rsidR="007A5869" w:rsidRDefault="008C30D4" w:rsidP="007A5869">
      <w:pPr>
        <w:jc w:val="both"/>
        <w:rPr>
          <w:sz w:val="24"/>
          <w:szCs w:val="24"/>
        </w:rPr>
      </w:pPr>
      <w:r>
        <w:rPr>
          <w:sz w:val="24"/>
          <w:szCs w:val="24"/>
        </w:rPr>
        <w:t xml:space="preserve">We conclude this section by detailing the cases that we have identified </w:t>
      </w:r>
      <w:r w:rsidR="00127CC6">
        <w:rPr>
          <w:sz w:val="24"/>
          <w:szCs w:val="24"/>
        </w:rPr>
        <w:t>for further research.</w:t>
      </w:r>
      <w:r w:rsidR="007A5869">
        <w:rPr>
          <w:sz w:val="24"/>
          <w:szCs w:val="24"/>
        </w:rPr>
        <w:t xml:space="preserve"> Given the lack of relevant data on the use of experts and evidence in mini-publics on social policy issues that we found in this study then we would recommend in-depth case analysis where additional qualitative data is collected. Interviews with the organisers and key stakeholders of the highlighted cases would further help answer the research questions identified here</w:t>
      </w:r>
    </w:p>
    <w:p w:rsidR="00127CC6" w:rsidRPr="00507AAE" w:rsidRDefault="00127CC6" w:rsidP="00E54D55">
      <w:pPr>
        <w:jc w:val="both"/>
        <w:rPr>
          <w:b/>
          <w:color w:val="0B5484" w:themeColor="accent1" w:themeShade="80"/>
          <w:sz w:val="24"/>
          <w:szCs w:val="24"/>
        </w:rPr>
      </w:pPr>
      <w:r w:rsidRPr="00507AAE">
        <w:rPr>
          <w:b/>
          <w:color w:val="0B5484" w:themeColor="accent1" w:themeShade="80"/>
          <w:sz w:val="24"/>
          <w:szCs w:val="24"/>
        </w:rPr>
        <w:t>Table</w:t>
      </w:r>
      <w:r w:rsidR="0061007D">
        <w:rPr>
          <w:b/>
          <w:color w:val="0B5484" w:themeColor="accent1" w:themeShade="80"/>
          <w:sz w:val="24"/>
          <w:szCs w:val="24"/>
        </w:rPr>
        <w:t xml:space="preserve"> </w:t>
      </w:r>
      <w:r w:rsidR="00BD3111">
        <w:rPr>
          <w:b/>
          <w:color w:val="0B5484" w:themeColor="accent1" w:themeShade="80"/>
          <w:sz w:val="24"/>
          <w:szCs w:val="24"/>
        </w:rPr>
        <w:t>18</w:t>
      </w:r>
      <w:r w:rsidRPr="00507AAE">
        <w:rPr>
          <w:b/>
          <w:color w:val="0B5484" w:themeColor="accent1" w:themeShade="80"/>
          <w:sz w:val="24"/>
          <w:szCs w:val="24"/>
        </w:rPr>
        <w:t>: Cases Nominated for Further Research</w:t>
      </w:r>
    </w:p>
    <w:tbl>
      <w:tblPr>
        <w:tblStyle w:val="TableGrid"/>
        <w:tblW w:w="9616" w:type="dxa"/>
        <w:tblInd w:w="-5" w:type="dxa"/>
        <w:tblLook w:val="04A0" w:firstRow="1" w:lastRow="0" w:firstColumn="1" w:lastColumn="0" w:noHBand="0" w:noVBand="1"/>
      </w:tblPr>
      <w:tblGrid>
        <w:gridCol w:w="1808"/>
        <w:gridCol w:w="1926"/>
        <w:gridCol w:w="2039"/>
        <w:gridCol w:w="1803"/>
        <w:gridCol w:w="2040"/>
      </w:tblGrid>
      <w:tr w:rsidR="00127CC6" w:rsidTr="000D4A6F">
        <w:tc>
          <w:tcPr>
            <w:tcW w:w="1808" w:type="dxa"/>
          </w:tcPr>
          <w:p w:rsidR="00127CC6" w:rsidRPr="00B57114" w:rsidRDefault="009B24D6" w:rsidP="000D4A6F">
            <w:pPr>
              <w:rPr>
                <w:b/>
                <w:i/>
                <w:color w:val="0B5484" w:themeColor="accent1" w:themeShade="80"/>
                <w:sz w:val="24"/>
                <w:szCs w:val="24"/>
              </w:rPr>
            </w:pPr>
            <w:r w:rsidRPr="00B57114">
              <w:rPr>
                <w:b/>
                <w:i/>
                <w:color w:val="0B5484" w:themeColor="accent1" w:themeShade="80"/>
                <w:sz w:val="24"/>
                <w:szCs w:val="24"/>
              </w:rPr>
              <w:t>Focus</w:t>
            </w:r>
          </w:p>
        </w:tc>
        <w:tc>
          <w:tcPr>
            <w:tcW w:w="1926" w:type="dxa"/>
          </w:tcPr>
          <w:p w:rsidR="00127CC6" w:rsidRPr="00B57114" w:rsidRDefault="00127CC6" w:rsidP="000D4A6F">
            <w:pPr>
              <w:rPr>
                <w:b/>
                <w:i/>
                <w:color w:val="0B5484" w:themeColor="accent1" w:themeShade="80"/>
                <w:sz w:val="24"/>
                <w:szCs w:val="24"/>
              </w:rPr>
            </w:pPr>
            <w:r w:rsidRPr="00B57114">
              <w:rPr>
                <w:b/>
                <w:i/>
                <w:color w:val="0B5484" w:themeColor="accent1" w:themeShade="80"/>
                <w:sz w:val="24"/>
                <w:szCs w:val="24"/>
              </w:rPr>
              <w:t>Country</w:t>
            </w:r>
          </w:p>
        </w:tc>
        <w:tc>
          <w:tcPr>
            <w:tcW w:w="2039" w:type="dxa"/>
          </w:tcPr>
          <w:p w:rsidR="00127CC6" w:rsidRPr="00B57114" w:rsidRDefault="00127CC6" w:rsidP="000D4A6F">
            <w:pPr>
              <w:rPr>
                <w:b/>
                <w:i/>
                <w:color w:val="0B5484" w:themeColor="accent1" w:themeShade="80"/>
                <w:sz w:val="24"/>
                <w:szCs w:val="24"/>
              </w:rPr>
            </w:pPr>
            <w:r w:rsidRPr="00B57114">
              <w:rPr>
                <w:b/>
                <w:i/>
                <w:color w:val="0B5484" w:themeColor="accent1" w:themeShade="80"/>
                <w:sz w:val="24"/>
                <w:szCs w:val="24"/>
              </w:rPr>
              <w:t>Mini-Public Type</w:t>
            </w:r>
          </w:p>
        </w:tc>
        <w:tc>
          <w:tcPr>
            <w:tcW w:w="1803" w:type="dxa"/>
          </w:tcPr>
          <w:p w:rsidR="00127CC6" w:rsidRPr="00B57114" w:rsidRDefault="00127CC6" w:rsidP="000D4A6F">
            <w:pPr>
              <w:rPr>
                <w:b/>
                <w:i/>
                <w:color w:val="0B5484" w:themeColor="accent1" w:themeShade="80"/>
                <w:sz w:val="24"/>
                <w:szCs w:val="24"/>
              </w:rPr>
            </w:pPr>
            <w:r w:rsidRPr="00B57114">
              <w:rPr>
                <w:b/>
                <w:i/>
                <w:color w:val="0B5484" w:themeColor="accent1" w:themeShade="80"/>
                <w:sz w:val="24"/>
                <w:szCs w:val="24"/>
              </w:rPr>
              <w:t>Policy/ Practice Area</w:t>
            </w:r>
          </w:p>
        </w:tc>
        <w:tc>
          <w:tcPr>
            <w:tcW w:w="2040" w:type="dxa"/>
          </w:tcPr>
          <w:p w:rsidR="00127CC6" w:rsidRPr="00B57114" w:rsidRDefault="00127CC6" w:rsidP="000D4A6F">
            <w:pPr>
              <w:rPr>
                <w:b/>
                <w:i/>
                <w:color w:val="0B5484" w:themeColor="accent1" w:themeShade="80"/>
                <w:sz w:val="24"/>
                <w:szCs w:val="24"/>
              </w:rPr>
            </w:pPr>
            <w:r w:rsidRPr="00B57114">
              <w:rPr>
                <w:b/>
                <w:i/>
                <w:color w:val="0B5484" w:themeColor="accent1" w:themeShade="80"/>
                <w:sz w:val="24"/>
                <w:szCs w:val="24"/>
              </w:rPr>
              <w:t>Reference</w:t>
            </w:r>
          </w:p>
        </w:tc>
      </w:tr>
      <w:tr w:rsidR="00127CC6" w:rsidTr="00BD3111">
        <w:tc>
          <w:tcPr>
            <w:tcW w:w="1808" w:type="dxa"/>
            <w:shd w:val="clear" w:color="auto" w:fill="ABD9F8" w:themeFill="accent1" w:themeFillTint="66"/>
          </w:tcPr>
          <w:p w:rsidR="00127CC6" w:rsidRPr="000D4A6F" w:rsidRDefault="000D4A6F" w:rsidP="000D4A6F">
            <w:pPr>
              <w:rPr>
                <w:sz w:val="24"/>
                <w:szCs w:val="24"/>
              </w:rPr>
            </w:pPr>
            <w:r w:rsidRPr="000D4A6F">
              <w:rPr>
                <w:sz w:val="24"/>
                <w:szCs w:val="24"/>
              </w:rPr>
              <w:t>Pandemic Planning</w:t>
            </w:r>
          </w:p>
        </w:tc>
        <w:tc>
          <w:tcPr>
            <w:tcW w:w="1926" w:type="dxa"/>
            <w:shd w:val="clear" w:color="auto" w:fill="ABD9F8" w:themeFill="accent1" w:themeFillTint="66"/>
          </w:tcPr>
          <w:p w:rsidR="00127CC6" w:rsidRPr="000D4A6F" w:rsidRDefault="000B56DC" w:rsidP="000D4A6F">
            <w:pPr>
              <w:rPr>
                <w:sz w:val="24"/>
                <w:szCs w:val="24"/>
              </w:rPr>
            </w:pPr>
            <w:r w:rsidRPr="000D4A6F">
              <w:rPr>
                <w:sz w:val="24"/>
                <w:szCs w:val="24"/>
              </w:rPr>
              <w:t>Australia</w:t>
            </w:r>
          </w:p>
        </w:tc>
        <w:tc>
          <w:tcPr>
            <w:tcW w:w="2039" w:type="dxa"/>
            <w:shd w:val="clear" w:color="auto" w:fill="ABD9F8" w:themeFill="accent1" w:themeFillTint="66"/>
          </w:tcPr>
          <w:p w:rsidR="00127CC6" w:rsidRPr="000D4A6F" w:rsidRDefault="000D4A6F" w:rsidP="000D4A6F">
            <w:pPr>
              <w:rPr>
                <w:sz w:val="24"/>
                <w:szCs w:val="24"/>
              </w:rPr>
            </w:pPr>
            <w:r w:rsidRPr="000D4A6F">
              <w:rPr>
                <w:sz w:val="24"/>
                <w:szCs w:val="24"/>
              </w:rPr>
              <w:t>Citizens’ Jury</w:t>
            </w:r>
          </w:p>
        </w:tc>
        <w:tc>
          <w:tcPr>
            <w:tcW w:w="1803" w:type="dxa"/>
            <w:shd w:val="clear" w:color="auto" w:fill="ABD9F8" w:themeFill="accent1" w:themeFillTint="66"/>
          </w:tcPr>
          <w:p w:rsidR="00127CC6" w:rsidRPr="000D4A6F" w:rsidRDefault="000D4A6F" w:rsidP="000D4A6F">
            <w:pPr>
              <w:rPr>
                <w:sz w:val="24"/>
                <w:szCs w:val="24"/>
              </w:rPr>
            </w:pPr>
            <w:r w:rsidRPr="000D4A6F">
              <w:rPr>
                <w:sz w:val="24"/>
                <w:szCs w:val="24"/>
              </w:rPr>
              <w:t>Health</w:t>
            </w:r>
          </w:p>
        </w:tc>
        <w:tc>
          <w:tcPr>
            <w:tcW w:w="2040" w:type="dxa"/>
            <w:shd w:val="clear" w:color="auto" w:fill="ABD9F8" w:themeFill="accent1" w:themeFillTint="66"/>
          </w:tcPr>
          <w:p w:rsidR="00127CC6" w:rsidRPr="000D4A6F" w:rsidRDefault="000D4A6F" w:rsidP="000D4A6F">
            <w:pPr>
              <w:rPr>
                <w:sz w:val="24"/>
                <w:szCs w:val="24"/>
              </w:rPr>
            </w:pPr>
            <w:proofErr w:type="spellStart"/>
            <w:r w:rsidRPr="000D4A6F">
              <w:rPr>
                <w:sz w:val="24"/>
                <w:szCs w:val="24"/>
              </w:rPr>
              <w:t>Braunack</w:t>
            </w:r>
            <w:proofErr w:type="spellEnd"/>
            <w:r w:rsidRPr="000D4A6F">
              <w:rPr>
                <w:sz w:val="24"/>
                <w:szCs w:val="24"/>
              </w:rPr>
              <w:t>-Mayer et al., 2008</w:t>
            </w:r>
          </w:p>
        </w:tc>
      </w:tr>
      <w:tr w:rsidR="000B56DC" w:rsidTr="000D4A6F">
        <w:tc>
          <w:tcPr>
            <w:tcW w:w="1808" w:type="dxa"/>
          </w:tcPr>
          <w:p w:rsidR="000B56DC" w:rsidRPr="000D4A6F" w:rsidRDefault="000B56DC" w:rsidP="000D4A6F">
            <w:pPr>
              <w:rPr>
                <w:sz w:val="24"/>
                <w:szCs w:val="24"/>
              </w:rPr>
            </w:pPr>
            <w:r w:rsidRPr="000D4A6F">
              <w:rPr>
                <w:sz w:val="24"/>
                <w:szCs w:val="24"/>
              </w:rPr>
              <w:t>Physical activity</w:t>
            </w:r>
          </w:p>
        </w:tc>
        <w:tc>
          <w:tcPr>
            <w:tcW w:w="1926" w:type="dxa"/>
          </w:tcPr>
          <w:p w:rsidR="000B56DC" w:rsidRPr="000D4A6F" w:rsidRDefault="000B56DC" w:rsidP="000D4A6F">
            <w:pPr>
              <w:rPr>
                <w:sz w:val="24"/>
                <w:szCs w:val="24"/>
              </w:rPr>
            </w:pPr>
            <w:r w:rsidRPr="000D4A6F">
              <w:rPr>
                <w:sz w:val="24"/>
                <w:szCs w:val="24"/>
              </w:rPr>
              <w:t>Denmark</w:t>
            </w:r>
          </w:p>
        </w:tc>
        <w:tc>
          <w:tcPr>
            <w:tcW w:w="2039" w:type="dxa"/>
          </w:tcPr>
          <w:p w:rsidR="000B56DC" w:rsidRPr="000D4A6F" w:rsidRDefault="000B56DC" w:rsidP="000D4A6F">
            <w:pPr>
              <w:rPr>
                <w:sz w:val="24"/>
                <w:szCs w:val="24"/>
              </w:rPr>
            </w:pPr>
            <w:r w:rsidRPr="000D4A6F">
              <w:rPr>
                <w:sz w:val="24"/>
                <w:szCs w:val="24"/>
              </w:rPr>
              <w:t>Consensus Conference</w:t>
            </w:r>
          </w:p>
        </w:tc>
        <w:tc>
          <w:tcPr>
            <w:tcW w:w="1803" w:type="dxa"/>
          </w:tcPr>
          <w:p w:rsidR="000B56DC" w:rsidRPr="000D4A6F" w:rsidRDefault="000B56DC" w:rsidP="000D4A6F">
            <w:pPr>
              <w:rPr>
                <w:sz w:val="24"/>
                <w:szCs w:val="24"/>
              </w:rPr>
            </w:pPr>
            <w:r w:rsidRPr="000D4A6F">
              <w:rPr>
                <w:sz w:val="24"/>
                <w:szCs w:val="24"/>
              </w:rPr>
              <w:t>Health</w:t>
            </w:r>
          </w:p>
        </w:tc>
        <w:tc>
          <w:tcPr>
            <w:tcW w:w="2040" w:type="dxa"/>
          </w:tcPr>
          <w:p w:rsidR="000B56DC" w:rsidRPr="000D4A6F" w:rsidRDefault="000B56DC" w:rsidP="000D4A6F">
            <w:pPr>
              <w:rPr>
                <w:sz w:val="24"/>
                <w:szCs w:val="24"/>
              </w:rPr>
            </w:pPr>
            <w:proofErr w:type="spellStart"/>
            <w:r w:rsidRPr="000D4A6F">
              <w:rPr>
                <w:sz w:val="24"/>
                <w:szCs w:val="24"/>
              </w:rPr>
              <w:t>Bangsbo</w:t>
            </w:r>
            <w:proofErr w:type="spellEnd"/>
            <w:r w:rsidRPr="000D4A6F">
              <w:rPr>
                <w:sz w:val="24"/>
                <w:szCs w:val="24"/>
              </w:rPr>
              <w:t xml:space="preserve"> 2016</w:t>
            </w:r>
          </w:p>
        </w:tc>
      </w:tr>
      <w:tr w:rsidR="000B56DC" w:rsidTr="00BD3111">
        <w:tc>
          <w:tcPr>
            <w:tcW w:w="1808" w:type="dxa"/>
            <w:shd w:val="clear" w:color="auto" w:fill="ABD9F8" w:themeFill="accent1" w:themeFillTint="66"/>
          </w:tcPr>
          <w:p w:rsidR="000B56DC" w:rsidRPr="000D4A6F" w:rsidRDefault="000B56DC" w:rsidP="000D4A6F">
            <w:pPr>
              <w:rPr>
                <w:sz w:val="24"/>
                <w:szCs w:val="24"/>
              </w:rPr>
            </w:pPr>
            <w:r w:rsidRPr="000D4A6F">
              <w:rPr>
                <w:sz w:val="24"/>
                <w:szCs w:val="24"/>
              </w:rPr>
              <w:t>Health care reform</w:t>
            </w:r>
          </w:p>
        </w:tc>
        <w:tc>
          <w:tcPr>
            <w:tcW w:w="1926" w:type="dxa"/>
            <w:shd w:val="clear" w:color="auto" w:fill="ABD9F8" w:themeFill="accent1" w:themeFillTint="66"/>
          </w:tcPr>
          <w:p w:rsidR="000B56DC" w:rsidRPr="000D4A6F" w:rsidRDefault="000B56DC" w:rsidP="000D4A6F">
            <w:pPr>
              <w:rPr>
                <w:sz w:val="24"/>
                <w:szCs w:val="24"/>
              </w:rPr>
            </w:pPr>
            <w:r w:rsidRPr="000D4A6F">
              <w:rPr>
                <w:sz w:val="24"/>
                <w:szCs w:val="24"/>
              </w:rPr>
              <w:t>Finland</w:t>
            </w:r>
          </w:p>
        </w:tc>
        <w:tc>
          <w:tcPr>
            <w:tcW w:w="2039" w:type="dxa"/>
            <w:shd w:val="clear" w:color="auto" w:fill="ABD9F8" w:themeFill="accent1" w:themeFillTint="66"/>
          </w:tcPr>
          <w:p w:rsidR="000B56DC" w:rsidRPr="000D4A6F" w:rsidRDefault="000B56DC" w:rsidP="000D4A6F">
            <w:pPr>
              <w:rPr>
                <w:sz w:val="24"/>
                <w:szCs w:val="24"/>
              </w:rPr>
            </w:pPr>
            <w:r w:rsidRPr="000D4A6F">
              <w:rPr>
                <w:sz w:val="24"/>
                <w:szCs w:val="24"/>
              </w:rPr>
              <w:t>Consensus Conference</w:t>
            </w:r>
          </w:p>
        </w:tc>
        <w:tc>
          <w:tcPr>
            <w:tcW w:w="1803" w:type="dxa"/>
            <w:shd w:val="clear" w:color="auto" w:fill="ABD9F8" w:themeFill="accent1" w:themeFillTint="66"/>
          </w:tcPr>
          <w:p w:rsidR="000B56DC" w:rsidRPr="000D4A6F" w:rsidRDefault="000B56DC" w:rsidP="000D4A6F">
            <w:pPr>
              <w:rPr>
                <w:sz w:val="24"/>
                <w:szCs w:val="24"/>
              </w:rPr>
            </w:pPr>
            <w:r w:rsidRPr="000D4A6F">
              <w:rPr>
                <w:sz w:val="24"/>
                <w:szCs w:val="24"/>
              </w:rPr>
              <w:t xml:space="preserve">Health </w:t>
            </w:r>
          </w:p>
        </w:tc>
        <w:tc>
          <w:tcPr>
            <w:tcW w:w="2040" w:type="dxa"/>
            <w:shd w:val="clear" w:color="auto" w:fill="ABD9F8" w:themeFill="accent1" w:themeFillTint="66"/>
          </w:tcPr>
          <w:p w:rsidR="000B56DC" w:rsidRPr="000D4A6F" w:rsidRDefault="000B56DC" w:rsidP="000D4A6F">
            <w:pPr>
              <w:rPr>
                <w:sz w:val="24"/>
                <w:szCs w:val="24"/>
              </w:rPr>
            </w:pPr>
            <w:proofErr w:type="spellStart"/>
            <w:r w:rsidRPr="000D4A6F">
              <w:rPr>
                <w:sz w:val="24"/>
                <w:szCs w:val="24"/>
              </w:rPr>
              <w:t>Raisio</w:t>
            </w:r>
            <w:proofErr w:type="spellEnd"/>
            <w:r w:rsidRPr="000D4A6F">
              <w:rPr>
                <w:sz w:val="24"/>
                <w:szCs w:val="24"/>
              </w:rPr>
              <w:t xml:space="preserve"> 2010</w:t>
            </w:r>
          </w:p>
        </w:tc>
      </w:tr>
      <w:tr w:rsidR="000B56DC" w:rsidTr="000D4A6F">
        <w:tc>
          <w:tcPr>
            <w:tcW w:w="1808" w:type="dxa"/>
          </w:tcPr>
          <w:p w:rsidR="000B56DC" w:rsidRPr="000D4A6F" w:rsidRDefault="000B56DC" w:rsidP="000D4A6F">
            <w:pPr>
              <w:rPr>
                <w:sz w:val="24"/>
                <w:szCs w:val="24"/>
              </w:rPr>
            </w:pPr>
            <w:r w:rsidRPr="000D4A6F">
              <w:rPr>
                <w:sz w:val="24"/>
                <w:szCs w:val="24"/>
              </w:rPr>
              <w:t>Teaching and learning in schools</w:t>
            </w:r>
          </w:p>
        </w:tc>
        <w:tc>
          <w:tcPr>
            <w:tcW w:w="1926" w:type="dxa"/>
          </w:tcPr>
          <w:p w:rsidR="000B56DC" w:rsidRPr="000D4A6F" w:rsidRDefault="000B56DC" w:rsidP="000D4A6F">
            <w:pPr>
              <w:rPr>
                <w:sz w:val="24"/>
                <w:szCs w:val="24"/>
              </w:rPr>
            </w:pPr>
            <w:r w:rsidRPr="000D4A6F">
              <w:rPr>
                <w:sz w:val="24"/>
                <w:szCs w:val="24"/>
              </w:rPr>
              <w:t>France</w:t>
            </w:r>
          </w:p>
        </w:tc>
        <w:tc>
          <w:tcPr>
            <w:tcW w:w="2039" w:type="dxa"/>
          </w:tcPr>
          <w:p w:rsidR="000B56DC" w:rsidRPr="000D4A6F" w:rsidRDefault="000B56DC" w:rsidP="000D4A6F">
            <w:pPr>
              <w:rPr>
                <w:sz w:val="24"/>
                <w:szCs w:val="24"/>
              </w:rPr>
            </w:pPr>
            <w:r w:rsidRPr="000D4A6F">
              <w:rPr>
                <w:sz w:val="24"/>
                <w:szCs w:val="24"/>
              </w:rPr>
              <w:t>Consensus Conference</w:t>
            </w:r>
          </w:p>
        </w:tc>
        <w:tc>
          <w:tcPr>
            <w:tcW w:w="1803" w:type="dxa"/>
          </w:tcPr>
          <w:p w:rsidR="000B56DC" w:rsidRPr="000D4A6F" w:rsidRDefault="000B56DC" w:rsidP="000D4A6F">
            <w:pPr>
              <w:rPr>
                <w:sz w:val="24"/>
                <w:szCs w:val="24"/>
              </w:rPr>
            </w:pPr>
            <w:r w:rsidRPr="000D4A6F">
              <w:rPr>
                <w:sz w:val="24"/>
                <w:szCs w:val="24"/>
              </w:rPr>
              <w:t>Education</w:t>
            </w:r>
          </w:p>
        </w:tc>
        <w:tc>
          <w:tcPr>
            <w:tcW w:w="2040" w:type="dxa"/>
          </w:tcPr>
          <w:p w:rsidR="000B56DC" w:rsidRPr="000D4A6F" w:rsidRDefault="000B56DC" w:rsidP="000D4A6F">
            <w:pPr>
              <w:rPr>
                <w:sz w:val="24"/>
                <w:szCs w:val="24"/>
              </w:rPr>
            </w:pPr>
            <w:r w:rsidRPr="000D4A6F">
              <w:rPr>
                <w:sz w:val="24"/>
                <w:szCs w:val="24"/>
              </w:rPr>
              <w:t>Rey et al. 2016</w:t>
            </w:r>
          </w:p>
        </w:tc>
      </w:tr>
      <w:tr w:rsidR="000B56DC" w:rsidTr="00BD3111">
        <w:tc>
          <w:tcPr>
            <w:tcW w:w="1808" w:type="dxa"/>
            <w:shd w:val="clear" w:color="auto" w:fill="ABD9F8" w:themeFill="accent1" w:themeFillTint="66"/>
          </w:tcPr>
          <w:p w:rsidR="000B56DC" w:rsidRPr="000D4A6F" w:rsidRDefault="000B56DC" w:rsidP="000D4A6F">
            <w:pPr>
              <w:rPr>
                <w:sz w:val="24"/>
                <w:szCs w:val="24"/>
              </w:rPr>
            </w:pPr>
            <w:r w:rsidRPr="000D4A6F">
              <w:rPr>
                <w:sz w:val="24"/>
                <w:szCs w:val="24"/>
              </w:rPr>
              <w:t>Arthritis</w:t>
            </w:r>
          </w:p>
        </w:tc>
        <w:tc>
          <w:tcPr>
            <w:tcW w:w="1926" w:type="dxa"/>
            <w:shd w:val="clear" w:color="auto" w:fill="ABD9F8" w:themeFill="accent1" w:themeFillTint="66"/>
          </w:tcPr>
          <w:p w:rsidR="000B56DC" w:rsidRPr="000D4A6F" w:rsidRDefault="000B56DC" w:rsidP="000D4A6F">
            <w:pPr>
              <w:rPr>
                <w:sz w:val="24"/>
                <w:szCs w:val="24"/>
              </w:rPr>
            </w:pPr>
            <w:r w:rsidRPr="000D4A6F">
              <w:rPr>
                <w:sz w:val="24"/>
                <w:szCs w:val="24"/>
              </w:rPr>
              <w:t>Germany</w:t>
            </w:r>
          </w:p>
        </w:tc>
        <w:tc>
          <w:tcPr>
            <w:tcW w:w="2039" w:type="dxa"/>
            <w:shd w:val="clear" w:color="auto" w:fill="ABD9F8" w:themeFill="accent1" w:themeFillTint="66"/>
          </w:tcPr>
          <w:p w:rsidR="000B56DC" w:rsidRPr="000D4A6F" w:rsidRDefault="000B56DC" w:rsidP="000D4A6F">
            <w:pPr>
              <w:rPr>
                <w:sz w:val="24"/>
                <w:szCs w:val="24"/>
              </w:rPr>
            </w:pPr>
            <w:r w:rsidRPr="000D4A6F">
              <w:rPr>
                <w:sz w:val="24"/>
                <w:szCs w:val="24"/>
              </w:rPr>
              <w:t>Citizens’ Jury</w:t>
            </w:r>
          </w:p>
        </w:tc>
        <w:tc>
          <w:tcPr>
            <w:tcW w:w="1803" w:type="dxa"/>
            <w:shd w:val="clear" w:color="auto" w:fill="ABD9F8" w:themeFill="accent1" w:themeFillTint="66"/>
          </w:tcPr>
          <w:p w:rsidR="000B56DC" w:rsidRPr="000D4A6F" w:rsidRDefault="000B56DC" w:rsidP="000D4A6F">
            <w:pPr>
              <w:rPr>
                <w:sz w:val="24"/>
                <w:szCs w:val="24"/>
              </w:rPr>
            </w:pPr>
            <w:r w:rsidRPr="000D4A6F">
              <w:rPr>
                <w:sz w:val="24"/>
                <w:szCs w:val="24"/>
              </w:rPr>
              <w:t>Health</w:t>
            </w:r>
          </w:p>
        </w:tc>
        <w:tc>
          <w:tcPr>
            <w:tcW w:w="2040" w:type="dxa"/>
            <w:shd w:val="clear" w:color="auto" w:fill="ABD9F8" w:themeFill="accent1" w:themeFillTint="66"/>
          </w:tcPr>
          <w:p w:rsidR="000B56DC" w:rsidRPr="000D4A6F" w:rsidRDefault="000B56DC" w:rsidP="000D4A6F">
            <w:pPr>
              <w:rPr>
                <w:sz w:val="24"/>
                <w:szCs w:val="24"/>
              </w:rPr>
            </w:pPr>
            <w:r w:rsidRPr="000D4A6F">
              <w:rPr>
                <w:sz w:val="24"/>
                <w:szCs w:val="24"/>
              </w:rPr>
              <w:t>Fletcher 2017</w:t>
            </w:r>
          </w:p>
        </w:tc>
      </w:tr>
      <w:tr w:rsidR="000B56DC" w:rsidTr="000D4A6F">
        <w:tc>
          <w:tcPr>
            <w:tcW w:w="1808" w:type="dxa"/>
          </w:tcPr>
          <w:p w:rsidR="000B56DC" w:rsidRPr="000D4A6F" w:rsidRDefault="000D4A6F" w:rsidP="000D4A6F">
            <w:pPr>
              <w:rPr>
                <w:sz w:val="24"/>
                <w:szCs w:val="24"/>
              </w:rPr>
            </w:pPr>
            <w:r w:rsidRPr="000D4A6F">
              <w:rPr>
                <w:sz w:val="24"/>
                <w:szCs w:val="24"/>
              </w:rPr>
              <w:t>Breast cancer screening</w:t>
            </w:r>
          </w:p>
        </w:tc>
        <w:tc>
          <w:tcPr>
            <w:tcW w:w="1926" w:type="dxa"/>
          </w:tcPr>
          <w:p w:rsidR="000B56DC" w:rsidRPr="000D4A6F" w:rsidRDefault="000B56DC" w:rsidP="000D4A6F">
            <w:pPr>
              <w:rPr>
                <w:sz w:val="24"/>
                <w:szCs w:val="24"/>
              </w:rPr>
            </w:pPr>
            <w:r w:rsidRPr="000D4A6F">
              <w:rPr>
                <w:sz w:val="24"/>
                <w:szCs w:val="24"/>
              </w:rPr>
              <w:t>New Zealand</w:t>
            </w:r>
          </w:p>
        </w:tc>
        <w:tc>
          <w:tcPr>
            <w:tcW w:w="2039" w:type="dxa"/>
          </w:tcPr>
          <w:p w:rsidR="000B56DC" w:rsidRPr="000D4A6F" w:rsidRDefault="000D4A6F" w:rsidP="000D4A6F">
            <w:pPr>
              <w:rPr>
                <w:sz w:val="24"/>
                <w:szCs w:val="24"/>
              </w:rPr>
            </w:pPr>
            <w:r w:rsidRPr="000D4A6F">
              <w:rPr>
                <w:sz w:val="24"/>
                <w:szCs w:val="24"/>
              </w:rPr>
              <w:t>Citizens’ Jury</w:t>
            </w:r>
          </w:p>
        </w:tc>
        <w:tc>
          <w:tcPr>
            <w:tcW w:w="1803" w:type="dxa"/>
          </w:tcPr>
          <w:p w:rsidR="000B56DC" w:rsidRPr="000D4A6F" w:rsidRDefault="000D4A6F" w:rsidP="000D4A6F">
            <w:pPr>
              <w:rPr>
                <w:sz w:val="24"/>
                <w:szCs w:val="24"/>
              </w:rPr>
            </w:pPr>
            <w:r w:rsidRPr="000D4A6F">
              <w:rPr>
                <w:sz w:val="24"/>
                <w:szCs w:val="24"/>
              </w:rPr>
              <w:t>Health</w:t>
            </w:r>
          </w:p>
        </w:tc>
        <w:tc>
          <w:tcPr>
            <w:tcW w:w="2040" w:type="dxa"/>
          </w:tcPr>
          <w:p w:rsidR="000B56DC" w:rsidRPr="000D4A6F" w:rsidRDefault="000D4A6F" w:rsidP="000D4A6F">
            <w:pPr>
              <w:rPr>
                <w:sz w:val="24"/>
                <w:szCs w:val="24"/>
              </w:rPr>
            </w:pPr>
            <w:r w:rsidRPr="000D4A6F">
              <w:rPr>
                <w:sz w:val="24"/>
                <w:szCs w:val="24"/>
              </w:rPr>
              <w:t>Paul et al., 2008</w:t>
            </w:r>
          </w:p>
        </w:tc>
      </w:tr>
      <w:tr w:rsidR="000B56DC" w:rsidTr="00BD3111">
        <w:tc>
          <w:tcPr>
            <w:tcW w:w="1808" w:type="dxa"/>
            <w:shd w:val="clear" w:color="auto" w:fill="ABD9F8" w:themeFill="accent1" w:themeFillTint="66"/>
          </w:tcPr>
          <w:p w:rsidR="000B56DC" w:rsidRPr="000D4A6F" w:rsidRDefault="000B56DC" w:rsidP="000D4A6F">
            <w:pPr>
              <w:rPr>
                <w:sz w:val="24"/>
                <w:szCs w:val="24"/>
              </w:rPr>
            </w:pPr>
            <w:r w:rsidRPr="000D4A6F">
              <w:rPr>
                <w:sz w:val="24"/>
                <w:szCs w:val="24"/>
              </w:rPr>
              <w:t>Land-use planning process</w:t>
            </w:r>
          </w:p>
        </w:tc>
        <w:tc>
          <w:tcPr>
            <w:tcW w:w="1926" w:type="dxa"/>
            <w:shd w:val="clear" w:color="auto" w:fill="ABD9F8" w:themeFill="accent1" w:themeFillTint="66"/>
          </w:tcPr>
          <w:p w:rsidR="000B56DC" w:rsidRPr="000D4A6F" w:rsidRDefault="000B56DC" w:rsidP="000D4A6F">
            <w:pPr>
              <w:rPr>
                <w:sz w:val="24"/>
                <w:szCs w:val="24"/>
              </w:rPr>
            </w:pPr>
            <w:r w:rsidRPr="000D4A6F">
              <w:rPr>
                <w:sz w:val="24"/>
                <w:szCs w:val="24"/>
              </w:rPr>
              <w:t>The Netherlands</w:t>
            </w:r>
          </w:p>
        </w:tc>
        <w:tc>
          <w:tcPr>
            <w:tcW w:w="2039" w:type="dxa"/>
            <w:shd w:val="clear" w:color="auto" w:fill="ABD9F8" w:themeFill="accent1" w:themeFillTint="66"/>
          </w:tcPr>
          <w:p w:rsidR="000B56DC" w:rsidRPr="000D4A6F" w:rsidRDefault="000B56DC" w:rsidP="000D4A6F">
            <w:pPr>
              <w:rPr>
                <w:sz w:val="24"/>
                <w:szCs w:val="24"/>
              </w:rPr>
            </w:pPr>
            <w:r w:rsidRPr="000D4A6F">
              <w:rPr>
                <w:sz w:val="24"/>
                <w:szCs w:val="24"/>
              </w:rPr>
              <w:t>Citizens’ Jury</w:t>
            </w:r>
          </w:p>
        </w:tc>
        <w:tc>
          <w:tcPr>
            <w:tcW w:w="1803" w:type="dxa"/>
            <w:shd w:val="clear" w:color="auto" w:fill="ABD9F8" w:themeFill="accent1" w:themeFillTint="66"/>
          </w:tcPr>
          <w:p w:rsidR="000B56DC" w:rsidRPr="000D4A6F" w:rsidRDefault="000B56DC" w:rsidP="000D4A6F">
            <w:pPr>
              <w:rPr>
                <w:sz w:val="24"/>
                <w:szCs w:val="24"/>
              </w:rPr>
            </w:pPr>
            <w:r w:rsidRPr="000D4A6F">
              <w:rPr>
                <w:sz w:val="24"/>
                <w:szCs w:val="24"/>
              </w:rPr>
              <w:t>Housing</w:t>
            </w:r>
          </w:p>
        </w:tc>
        <w:tc>
          <w:tcPr>
            <w:tcW w:w="2040" w:type="dxa"/>
            <w:shd w:val="clear" w:color="auto" w:fill="ABD9F8" w:themeFill="accent1" w:themeFillTint="66"/>
          </w:tcPr>
          <w:p w:rsidR="000B56DC" w:rsidRPr="000D4A6F" w:rsidRDefault="000B56DC" w:rsidP="000D4A6F">
            <w:pPr>
              <w:rPr>
                <w:sz w:val="24"/>
                <w:szCs w:val="24"/>
              </w:rPr>
            </w:pPr>
            <w:proofErr w:type="spellStart"/>
            <w:r w:rsidRPr="000D4A6F">
              <w:rPr>
                <w:sz w:val="24"/>
                <w:szCs w:val="24"/>
              </w:rPr>
              <w:t>Huitema</w:t>
            </w:r>
            <w:proofErr w:type="spellEnd"/>
            <w:r w:rsidRPr="000D4A6F">
              <w:rPr>
                <w:sz w:val="24"/>
                <w:szCs w:val="24"/>
              </w:rPr>
              <w:t xml:space="preserve"> et al. 2007</w:t>
            </w:r>
          </w:p>
        </w:tc>
      </w:tr>
      <w:tr w:rsidR="000B56DC" w:rsidTr="000D4A6F">
        <w:tc>
          <w:tcPr>
            <w:tcW w:w="1808" w:type="dxa"/>
          </w:tcPr>
          <w:p w:rsidR="000B56DC" w:rsidRPr="000D4A6F" w:rsidRDefault="000B56DC" w:rsidP="000D4A6F">
            <w:pPr>
              <w:rPr>
                <w:sz w:val="24"/>
                <w:szCs w:val="24"/>
              </w:rPr>
            </w:pPr>
            <w:r w:rsidRPr="000D4A6F">
              <w:rPr>
                <w:sz w:val="24"/>
                <w:szCs w:val="24"/>
              </w:rPr>
              <w:t>Schools</w:t>
            </w:r>
          </w:p>
        </w:tc>
        <w:tc>
          <w:tcPr>
            <w:tcW w:w="1926" w:type="dxa"/>
          </w:tcPr>
          <w:p w:rsidR="000B56DC" w:rsidRPr="000D4A6F" w:rsidRDefault="000B56DC" w:rsidP="000D4A6F">
            <w:pPr>
              <w:rPr>
                <w:sz w:val="24"/>
                <w:szCs w:val="24"/>
              </w:rPr>
            </w:pPr>
            <w:r w:rsidRPr="000D4A6F">
              <w:rPr>
                <w:sz w:val="24"/>
                <w:szCs w:val="24"/>
              </w:rPr>
              <w:t>UK</w:t>
            </w:r>
          </w:p>
        </w:tc>
        <w:tc>
          <w:tcPr>
            <w:tcW w:w="2039" w:type="dxa"/>
          </w:tcPr>
          <w:p w:rsidR="000B56DC" w:rsidRPr="000D4A6F" w:rsidRDefault="000B56DC" w:rsidP="000D4A6F">
            <w:pPr>
              <w:rPr>
                <w:sz w:val="24"/>
                <w:szCs w:val="24"/>
              </w:rPr>
            </w:pPr>
            <w:r w:rsidRPr="000D4A6F">
              <w:rPr>
                <w:sz w:val="24"/>
                <w:szCs w:val="24"/>
              </w:rPr>
              <w:t>Deliberative Poll</w:t>
            </w:r>
          </w:p>
        </w:tc>
        <w:tc>
          <w:tcPr>
            <w:tcW w:w="1803" w:type="dxa"/>
          </w:tcPr>
          <w:p w:rsidR="000B56DC" w:rsidRPr="000D4A6F" w:rsidRDefault="000B56DC" w:rsidP="000D4A6F">
            <w:pPr>
              <w:rPr>
                <w:sz w:val="24"/>
                <w:szCs w:val="24"/>
              </w:rPr>
            </w:pPr>
            <w:r w:rsidRPr="000D4A6F">
              <w:rPr>
                <w:sz w:val="24"/>
                <w:szCs w:val="24"/>
              </w:rPr>
              <w:t>Education</w:t>
            </w:r>
          </w:p>
        </w:tc>
        <w:tc>
          <w:tcPr>
            <w:tcW w:w="2040" w:type="dxa"/>
          </w:tcPr>
          <w:p w:rsidR="000B56DC" w:rsidRPr="000D4A6F" w:rsidRDefault="000B56DC" w:rsidP="000D4A6F">
            <w:pPr>
              <w:rPr>
                <w:sz w:val="24"/>
                <w:szCs w:val="24"/>
              </w:rPr>
            </w:pPr>
            <w:r w:rsidRPr="000D4A6F">
              <w:rPr>
                <w:sz w:val="24"/>
                <w:szCs w:val="24"/>
              </w:rPr>
              <w:t>Luskin et al. 2014</w:t>
            </w:r>
          </w:p>
        </w:tc>
      </w:tr>
    </w:tbl>
    <w:p w:rsidR="00127CC6" w:rsidRDefault="00127CC6" w:rsidP="00E54D55">
      <w:pPr>
        <w:jc w:val="both"/>
        <w:rPr>
          <w:b/>
          <w:sz w:val="24"/>
          <w:szCs w:val="24"/>
        </w:rPr>
      </w:pPr>
    </w:p>
    <w:p w:rsidR="007A5869" w:rsidRDefault="007A5869" w:rsidP="007A5869">
      <w:pPr>
        <w:jc w:val="both"/>
        <w:rPr>
          <w:sz w:val="24"/>
          <w:szCs w:val="24"/>
        </w:rPr>
      </w:pPr>
      <w:r>
        <w:rPr>
          <w:sz w:val="24"/>
          <w:szCs w:val="24"/>
        </w:rPr>
        <w:t>In collecting this additional case data, other considerations should be taken into account that was not possible to gain sufficient insight on from this literature review, but that would be achievable through interviews. We discuss these in the final section of the report, to which we now turn.</w:t>
      </w:r>
    </w:p>
    <w:p w:rsidR="007A5869" w:rsidRDefault="007A5869" w:rsidP="00E54D55">
      <w:pPr>
        <w:jc w:val="both"/>
        <w:rPr>
          <w:b/>
          <w:sz w:val="24"/>
          <w:szCs w:val="24"/>
        </w:rPr>
      </w:pPr>
    </w:p>
    <w:p w:rsidR="00034A28" w:rsidRDefault="00034A28" w:rsidP="00E54D55">
      <w:pPr>
        <w:jc w:val="both"/>
        <w:rPr>
          <w:b/>
          <w:sz w:val="24"/>
          <w:szCs w:val="24"/>
        </w:rPr>
      </w:pPr>
    </w:p>
    <w:p w:rsidR="00B57114" w:rsidRDefault="00B57114" w:rsidP="00E54D55">
      <w:pPr>
        <w:jc w:val="both"/>
        <w:rPr>
          <w:b/>
          <w:sz w:val="24"/>
          <w:szCs w:val="24"/>
        </w:rPr>
      </w:pPr>
    </w:p>
    <w:p w:rsidR="00B57114" w:rsidRDefault="00B57114" w:rsidP="00E54D55">
      <w:pPr>
        <w:jc w:val="both"/>
        <w:rPr>
          <w:b/>
          <w:sz w:val="24"/>
          <w:szCs w:val="24"/>
        </w:rPr>
      </w:pPr>
    </w:p>
    <w:p w:rsidR="00B57114" w:rsidRDefault="00B57114" w:rsidP="00E54D55">
      <w:pPr>
        <w:jc w:val="both"/>
        <w:rPr>
          <w:b/>
          <w:sz w:val="24"/>
          <w:szCs w:val="24"/>
        </w:rPr>
      </w:pPr>
    </w:p>
    <w:p w:rsidR="00B57114" w:rsidRPr="00127CC6" w:rsidRDefault="00B57114" w:rsidP="00E54D55">
      <w:pPr>
        <w:jc w:val="both"/>
        <w:rPr>
          <w:b/>
          <w:sz w:val="24"/>
          <w:szCs w:val="24"/>
        </w:rPr>
      </w:pPr>
    </w:p>
    <w:p w:rsidR="00B57114" w:rsidRDefault="00B57114" w:rsidP="00845E3C">
      <w:pPr>
        <w:jc w:val="both"/>
        <w:rPr>
          <w:b/>
          <w:color w:val="0B5484" w:themeColor="accent1" w:themeShade="80"/>
          <w:sz w:val="36"/>
          <w:szCs w:val="36"/>
        </w:rPr>
      </w:pPr>
    </w:p>
    <w:p w:rsidR="00845E3C" w:rsidRDefault="00845E3C" w:rsidP="00845E3C">
      <w:pPr>
        <w:jc w:val="both"/>
        <w:rPr>
          <w:b/>
          <w:color w:val="0B5484" w:themeColor="accent1" w:themeShade="80"/>
          <w:sz w:val="36"/>
          <w:szCs w:val="36"/>
        </w:rPr>
      </w:pPr>
      <w:r>
        <w:rPr>
          <w:b/>
          <w:color w:val="0B5484" w:themeColor="accent1" w:themeShade="80"/>
          <w:sz w:val="36"/>
          <w:szCs w:val="36"/>
        </w:rPr>
        <w:t>Lessons and Recommendations</w:t>
      </w:r>
    </w:p>
    <w:p w:rsidR="007A5869" w:rsidRDefault="00B4400E" w:rsidP="00845E3C">
      <w:pPr>
        <w:jc w:val="both"/>
        <w:rPr>
          <w:sz w:val="24"/>
          <w:szCs w:val="24"/>
        </w:rPr>
      </w:pPr>
      <w:r>
        <w:rPr>
          <w:sz w:val="24"/>
          <w:szCs w:val="24"/>
        </w:rPr>
        <w:t>We conclude the report with some lessons recommendations to take the research project forward</w:t>
      </w:r>
      <w:r w:rsidR="007A5869">
        <w:rPr>
          <w:sz w:val="24"/>
          <w:szCs w:val="24"/>
        </w:rPr>
        <w:t xml:space="preserve"> and for organisers and researchers of mini-publics to consider</w:t>
      </w:r>
      <w:r w:rsidR="00B57114">
        <w:rPr>
          <w:sz w:val="24"/>
          <w:szCs w:val="24"/>
        </w:rPr>
        <w:t xml:space="preserve"> that are</w:t>
      </w:r>
      <w:r w:rsidR="007A5869">
        <w:rPr>
          <w:sz w:val="24"/>
          <w:szCs w:val="24"/>
        </w:rPr>
        <w:t xml:space="preserve"> based on the findings of this study</w:t>
      </w:r>
      <w:r>
        <w:rPr>
          <w:sz w:val="24"/>
          <w:szCs w:val="24"/>
        </w:rPr>
        <w:t xml:space="preserve">. </w:t>
      </w:r>
    </w:p>
    <w:p w:rsidR="005D584B" w:rsidRDefault="00D35831" w:rsidP="00845E3C">
      <w:pPr>
        <w:jc w:val="both"/>
        <w:rPr>
          <w:sz w:val="24"/>
          <w:szCs w:val="24"/>
        </w:rPr>
      </w:pPr>
      <w:r w:rsidRPr="00B57114">
        <w:rPr>
          <w:b/>
          <w:color w:val="0B5484" w:themeColor="accent1" w:themeShade="80"/>
          <w:sz w:val="24"/>
          <w:szCs w:val="24"/>
        </w:rPr>
        <w:t>Evidence Quality:</w:t>
      </w:r>
      <w:r>
        <w:rPr>
          <w:b/>
          <w:sz w:val="24"/>
          <w:szCs w:val="24"/>
        </w:rPr>
        <w:t xml:space="preserve"> </w:t>
      </w:r>
      <w:r>
        <w:rPr>
          <w:sz w:val="24"/>
          <w:szCs w:val="24"/>
        </w:rPr>
        <w:t xml:space="preserve">An </w:t>
      </w:r>
      <w:r w:rsidR="005D584B">
        <w:rPr>
          <w:sz w:val="24"/>
          <w:szCs w:val="24"/>
        </w:rPr>
        <w:t>issue, which was beyond the remit of this study but which merits investigation in the more in-depth case study analysis</w:t>
      </w:r>
      <w:r w:rsidR="00B57114">
        <w:rPr>
          <w:sz w:val="24"/>
          <w:szCs w:val="24"/>
        </w:rPr>
        <w:t>, is</w:t>
      </w:r>
      <w:r w:rsidR="005D584B">
        <w:rPr>
          <w:sz w:val="24"/>
          <w:szCs w:val="24"/>
        </w:rPr>
        <w:t xml:space="preserve"> the quality of the evidence provided to mini-publics. This is less the case with the information </w:t>
      </w:r>
      <w:r w:rsidR="00B03D69">
        <w:rPr>
          <w:sz w:val="24"/>
          <w:szCs w:val="24"/>
        </w:rPr>
        <w:t>packs, which</w:t>
      </w:r>
      <w:r w:rsidR="005D584B">
        <w:rPr>
          <w:sz w:val="24"/>
          <w:szCs w:val="24"/>
        </w:rPr>
        <w:t xml:space="preserve"> are usually agreed by stakeholders with a diverse set of views on the issue, but does pertain to the witness </w:t>
      </w:r>
      <w:r w:rsidR="00B57114">
        <w:rPr>
          <w:sz w:val="24"/>
          <w:szCs w:val="24"/>
        </w:rPr>
        <w:t>presentations, which can vary in quality and reliability</w:t>
      </w:r>
      <w:r w:rsidR="005D584B">
        <w:rPr>
          <w:sz w:val="24"/>
          <w:szCs w:val="24"/>
        </w:rPr>
        <w:t xml:space="preserve">. </w:t>
      </w:r>
      <w:r w:rsidR="00CB372F">
        <w:rPr>
          <w:sz w:val="24"/>
          <w:szCs w:val="24"/>
        </w:rPr>
        <w:t>One suggestion is</w:t>
      </w:r>
      <w:r w:rsidR="005D584B">
        <w:rPr>
          <w:sz w:val="24"/>
          <w:szCs w:val="24"/>
        </w:rPr>
        <w:t xml:space="preserve"> that the </w:t>
      </w:r>
      <w:r w:rsidR="00B03D69">
        <w:rPr>
          <w:sz w:val="24"/>
          <w:szCs w:val="24"/>
        </w:rPr>
        <w:t>organisers screen the evidence (</w:t>
      </w:r>
      <w:proofErr w:type="spellStart"/>
      <w:r w:rsidR="00B03D69">
        <w:rPr>
          <w:sz w:val="24"/>
          <w:szCs w:val="24"/>
        </w:rPr>
        <w:t>Lansdell</w:t>
      </w:r>
      <w:proofErr w:type="spellEnd"/>
      <w:r w:rsidR="00B03D69">
        <w:rPr>
          <w:sz w:val="24"/>
          <w:szCs w:val="24"/>
        </w:rPr>
        <w:t xml:space="preserve"> 2011)</w:t>
      </w:r>
      <w:r w:rsidR="005D584B">
        <w:rPr>
          <w:sz w:val="24"/>
          <w:szCs w:val="24"/>
        </w:rPr>
        <w:t xml:space="preserve">, but of course there is </w:t>
      </w:r>
      <w:r w:rsidR="00CB372F">
        <w:rPr>
          <w:sz w:val="24"/>
          <w:szCs w:val="24"/>
        </w:rPr>
        <w:t xml:space="preserve">a huge risk of bias and manipulation </w:t>
      </w:r>
      <w:r w:rsidR="009F518E">
        <w:rPr>
          <w:sz w:val="24"/>
          <w:szCs w:val="24"/>
        </w:rPr>
        <w:t>here. Other technique</w:t>
      </w:r>
      <w:r w:rsidR="00B57114">
        <w:rPr>
          <w:sz w:val="24"/>
          <w:szCs w:val="24"/>
        </w:rPr>
        <w:t>s</w:t>
      </w:r>
      <w:r w:rsidR="009F518E">
        <w:rPr>
          <w:sz w:val="24"/>
          <w:szCs w:val="24"/>
        </w:rPr>
        <w:t xml:space="preserve"> to elevate evidence quality, </w:t>
      </w:r>
      <w:r w:rsidR="00CB372F">
        <w:rPr>
          <w:sz w:val="24"/>
          <w:szCs w:val="24"/>
        </w:rPr>
        <w:t>such as briefing of witnesses</w:t>
      </w:r>
      <w:r w:rsidR="009F518E">
        <w:rPr>
          <w:sz w:val="24"/>
          <w:szCs w:val="24"/>
        </w:rPr>
        <w:t>,</w:t>
      </w:r>
      <w:r w:rsidR="00CB372F">
        <w:rPr>
          <w:sz w:val="24"/>
          <w:szCs w:val="24"/>
        </w:rPr>
        <w:t xml:space="preserve"> should be considered in future research on this topic.</w:t>
      </w:r>
      <w:r w:rsidR="00700784">
        <w:rPr>
          <w:sz w:val="24"/>
          <w:szCs w:val="24"/>
        </w:rPr>
        <w:t xml:space="preserve"> </w:t>
      </w:r>
      <w:r w:rsidR="00700784" w:rsidRPr="00700784">
        <w:rPr>
          <w:sz w:val="24"/>
          <w:szCs w:val="24"/>
        </w:rPr>
        <w:t xml:space="preserve">Evidence quality ultimately relates heavily to the process of witness identification and selection. </w:t>
      </w:r>
      <w:proofErr w:type="spellStart"/>
      <w:r w:rsidR="00700784">
        <w:rPr>
          <w:sz w:val="24"/>
          <w:szCs w:val="24"/>
        </w:rPr>
        <w:t>Boker</w:t>
      </w:r>
      <w:proofErr w:type="spellEnd"/>
      <w:r w:rsidR="00700784">
        <w:rPr>
          <w:sz w:val="24"/>
          <w:szCs w:val="24"/>
        </w:rPr>
        <w:t xml:space="preserve"> and Elstub (2015) suggest that anyone who wants to be a </w:t>
      </w:r>
      <w:r w:rsidR="00B57114">
        <w:rPr>
          <w:sz w:val="24"/>
          <w:szCs w:val="24"/>
        </w:rPr>
        <w:t>witness</w:t>
      </w:r>
      <w:r w:rsidR="00700784">
        <w:rPr>
          <w:sz w:val="24"/>
          <w:szCs w:val="24"/>
        </w:rPr>
        <w:t xml:space="preserve"> in a mini-public should be permitted to be. This would make the process</w:t>
      </w:r>
      <w:r w:rsidR="009F518E">
        <w:rPr>
          <w:sz w:val="24"/>
          <w:szCs w:val="24"/>
        </w:rPr>
        <w:t xml:space="preserve"> </w:t>
      </w:r>
      <w:r w:rsidR="00700784">
        <w:rPr>
          <w:sz w:val="24"/>
          <w:szCs w:val="24"/>
        </w:rPr>
        <w:t xml:space="preserve">more inclusive, but could lower evidence quality. </w:t>
      </w:r>
      <w:r w:rsidR="00785C11">
        <w:rPr>
          <w:sz w:val="24"/>
          <w:szCs w:val="24"/>
        </w:rPr>
        <w:t>The solution might be in training the citizen sample on critical thinking, which will help them discern good and bad quality evidence (</w:t>
      </w:r>
      <w:r w:rsidR="00230970">
        <w:rPr>
          <w:sz w:val="24"/>
          <w:szCs w:val="24"/>
          <w:lang w:val="en-US"/>
        </w:rPr>
        <w:t xml:space="preserve">Carson and </w:t>
      </w:r>
      <w:proofErr w:type="spellStart"/>
      <w:r w:rsidR="00230970">
        <w:rPr>
          <w:sz w:val="24"/>
          <w:szCs w:val="24"/>
          <w:lang w:val="en-US"/>
        </w:rPr>
        <w:t>Shecter</w:t>
      </w:r>
      <w:proofErr w:type="spellEnd"/>
      <w:r w:rsidR="00230970">
        <w:rPr>
          <w:sz w:val="24"/>
          <w:szCs w:val="24"/>
          <w:lang w:val="en-US"/>
        </w:rPr>
        <w:t xml:space="preserve"> 2017</w:t>
      </w:r>
      <w:r w:rsidR="0001431F">
        <w:rPr>
          <w:sz w:val="24"/>
          <w:szCs w:val="24"/>
        </w:rPr>
        <w:t xml:space="preserve">; </w:t>
      </w:r>
      <w:r w:rsidR="00700784" w:rsidRPr="00700784">
        <w:rPr>
          <w:sz w:val="24"/>
          <w:szCs w:val="24"/>
        </w:rPr>
        <w:t>Roberts and Lightbody 2017</w:t>
      </w:r>
      <w:r w:rsidR="00785C11">
        <w:rPr>
          <w:sz w:val="24"/>
          <w:szCs w:val="24"/>
        </w:rPr>
        <w:t xml:space="preserve">). </w:t>
      </w:r>
      <w:proofErr w:type="spellStart"/>
      <w:r w:rsidR="0001431F">
        <w:rPr>
          <w:sz w:val="24"/>
          <w:szCs w:val="24"/>
        </w:rPr>
        <w:t>NewDemocracy</w:t>
      </w:r>
      <w:proofErr w:type="spellEnd"/>
      <w:r w:rsidR="0001431F">
        <w:rPr>
          <w:sz w:val="24"/>
          <w:szCs w:val="24"/>
        </w:rPr>
        <w:t xml:space="preserve"> Foundation are making significant </w:t>
      </w:r>
      <w:r w:rsidR="00B57114">
        <w:rPr>
          <w:sz w:val="24"/>
          <w:szCs w:val="24"/>
        </w:rPr>
        <w:t xml:space="preserve">steps forward in incorporating </w:t>
      </w:r>
      <w:r w:rsidR="0001431F">
        <w:rPr>
          <w:sz w:val="24"/>
          <w:szCs w:val="24"/>
        </w:rPr>
        <w:t>this type of training in the mini-public designs (Carson 2017)</w:t>
      </w:r>
      <w:r w:rsidR="00B57114">
        <w:rPr>
          <w:sz w:val="24"/>
          <w:szCs w:val="24"/>
        </w:rPr>
        <w:t xml:space="preserve"> and it was also present in some of our cases</w:t>
      </w:r>
      <w:r w:rsidR="0001431F">
        <w:rPr>
          <w:sz w:val="24"/>
          <w:szCs w:val="24"/>
        </w:rPr>
        <w:t>.</w:t>
      </w:r>
    </w:p>
    <w:p w:rsidR="00372757" w:rsidRPr="00372757" w:rsidRDefault="00372757" w:rsidP="00372757">
      <w:pPr>
        <w:jc w:val="both"/>
        <w:rPr>
          <w:sz w:val="24"/>
          <w:szCs w:val="24"/>
        </w:rPr>
      </w:pPr>
      <w:r w:rsidRPr="00B57114">
        <w:rPr>
          <w:b/>
          <w:color w:val="0B5484" w:themeColor="accent1" w:themeShade="80"/>
          <w:sz w:val="24"/>
          <w:szCs w:val="24"/>
        </w:rPr>
        <w:t>Expert Briefing:</w:t>
      </w:r>
      <w:r w:rsidRPr="00372757">
        <w:rPr>
          <w:b/>
          <w:sz w:val="24"/>
          <w:szCs w:val="24"/>
        </w:rPr>
        <w:t xml:space="preserve"> </w:t>
      </w:r>
      <w:r w:rsidRPr="00372757">
        <w:rPr>
          <w:sz w:val="24"/>
          <w:szCs w:val="24"/>
        </w:rPr>
        <w:t>As can be seen from the issue discussed above, the witnesses need clear instructions on what their role is and the expectations of them, including guidance on how to effectively communicate with the participants in jargon free and a</w:t>
      </w:r>
      <w:r w:rsidR="00230970">
        <w:rPr>
          <w:sz w:val="24"/>
          <w:szCs w:val="24"/>
        </w:rPr>
        <w:t>ccessible language (Carson 2017</w:t>
      </w:r>
      <w:r w:rsidRPr="00372757">
        <w:rPr>
          <w:sz w:val="24"/>
          <w:szCs w:val="24"/>
        </w:rPr>
        <w:t xml:space="preserve">; Roberts and Lightbody 2017). The nature of witness briefing is hardy commented on at all in the mini-public cases we have considered here. A focus on this issue in the in-depth case study analysis proposed could therefore be particularly illuminating as it could well be a key determining factor with regards the relationship between evidence and mini-publics. </w:t>
      </w:r>
    </w:p>
    <w:p w:rsidR="00CB372F" w:rsidRDefault="00C72289" w:rsidP="00845E3C">
      <w:pPr>
        <w:jc w:val="both"/>
        <w:rPr>
          <w:sz w:val="24"/>
          <w:szCs w:val="24"/>
        </w:rPr>
      </w:pPr>
      <w:r w:rsidRPr="00B57114">
        <w:rPr>
          <w:b/>
          <w:color w:val="0B5484" w:themeColor="accent1" w:themeShade="80"/>
          <w:sz w:val="24"/>
          <w:szCs w:val="24"/>
        </w:rPr>
        <w:t>Duration</w:t>
      </w:r>
      <w:r w:rsidR="00D35831" w:rsidRPr="00B57114">
        <w:rPr>
          <w:b/>
          <w:color w:val="0B5484" w:themeColor="accent1" w:themeShade="80"/>
          <w:sz w:val="24"/>
          <w:szCs w:val="24"/>
        </w:rPr>
        <w:t>:</w:t>
      </w:r>
      <w:r w:rsidR="00D35831">
        <w:rPr>
          <w:b/>
          <w:sz w:val="24"/>
          <w:szCs w:val="24"/>
        </w:rPr>
        <w:t xml:space="preserve"> </w:t>
      </w:r>
      <w:r w:rsidR="00CB372F">
        <w:rPr>
          <w:sz w:val="24"/>
          <w:szCs w:val="24"/>
        </w:rPr>
        <w:t>T</w:t>
      </w:r>
      <w:r>
        <w:rPr>
          <w:sz w:val="24"/>
          <w:szCs w:val="24"/>
        </w:rPr>
        <w:t>he duration of the mini-public</w:t>
      </w:r>
      <w:r w:rsidR="00CB372F">
        <w:rPr>
          <w:sz w:val="24"/>
          <w:szCs w:val="24"/>
        </w:rPr>
        <w:t xml:space="preserve"> is a very important factor</w:t>
      </w:r>
      <w:r w:rsidR="0090488E">
        <w:rPr>
          <w:sz w:val="24"/>
          <w:szCs w:val="24"/>
        </w:rPr>
        <w:t xml:space="preserve"> with respect to</w:t>
      </w:r>
      <w:r w:rsidR="009F518E">
        <w:rPr>
          <w:sz w:val="24"/>
          <w:szCs w:val="24"/>
        </w:rPr>
        <w:t xml:space="preserve"> the incorporation of evidence </w:t>
      </w:r>
      <w:r w:rsidR="009F518E" w:rsidRPr="009F518E">
        <w:rPr>
          <w:sz w:val="24"/>
          <w:szCs w:val="24"/>
        </w:rPr>
        <w:t>(Roberts and Lightbody 2017</w:t>
      </w:r>
      <w:r w:rsidR="009F518E">
        <w:rPr>
          <w:sz w:val="24"/>
          <w:szCs w:val="24"/>
        </w:rPr>
        <w:t xml:space="preserve">). </w:t>
      </w:r>
      <w:r w:rsidR="00B57114">
        <w:rPr>
          <w:sz w:val="24"/>
          <w:szCs w:val="24"/>
        </w:rPr>
        <w:t>T</w:t>
      </w:r>
      <w:r w:rsidR="009F518E">
        <w:rPr>
          <w:sz w:val="24"/>
          <w:szCs w:val="24"/>
        </w:rPr>
        <w:t>he longer the process the more chance the participants have to become informed on the issues, and consider a broader range of perspectives</w:t>
      </w:r>
      <w:r w:rsidR="00F074E5">
        <w:rPr>
          <w:sz w:val="24"/>
          <w:szCs w:val="24"/>
        </w:rPr>
        <w:t xml:space="preserve"> (Street et al. 2014).</w:t>
      </w:r>
      <w:r w:rsidR="009F518E">
        <w:rPr>
          <w:sz w:val="24"/>
          <w:szCs w:val="24"/>
        </w:rPr>
        <w:t xml:space="preserve"> </w:t>
      </w:r>
      <w:r w:rsidR="00F074E5">
        <w:rPr>
          <w:sz w:val="24"/>
          <w:szCs w:val="24"/>
        </w:rPr>
        <w:t xml:space="preserve">Citizens participating in mini-publics frequently end the process asking for more time to consider the issue more fully </w:t>
      </w:r>
      <w:r w:rsidR="00F074E5" w:rsidRPr="00785C11">
        <w:rPr>
          <w:sz w:val="24"/>
          <w:szCs w:val="24"/>
        </w:rPr>
        <w:t>(Roberts and Lightbody 2017).</w:t>
      </w:r>
      <w:r w:rsidR="00F074E5">
        <w:rPr>
          <w:sz w:val="24"/>
          <w:szCs w:val="24"/>
        </w:rPr>
        <w:t xml:space="preserve"> </w:t>
      </w:r>
      <w:r w:rsidR="009F518E">
        <w:rPr>
          <w:sz w:val="24"/>
          <w:szCs w:val="24"/>
        </w:rPr>
        <w:t xml:space="preserve">However, longer processes might make expert and participant recruitment more difficult. </w:t>
      </w:r>
      <w:r w:rsidR="00F074E5">
        <w:rPr>
          <w:sz w:val="24"/>
          <w:szCs w:val="24"/>
        </w:rPr>
        <w:t>Nevertheless, there is no evidence to suggest it effects recruitment bias for the citizen participants (Street et al. 2014).</w:t>
      </w:r>
      <w:r w:rsidR="0045581F">
        <w:rPr>
          <w:sz w:val="24"/>
          <w:szCs w:val="24"/>
        </w:rPr>
        <w:t xml:space="preserve"> Our findings here support those of Street et al. (2014) which indicate that most citizens’ juries are getting shorte</w:t>
      </w:r>
      <w:r w:rsidR="00B57114">
        <w:rPr>
          <w:sz w:val="24"/>
          <w:szCs w:val="24"/>
        </w:rPr>
        <w:t>r than in the original design (s</w:t>
      </w:r>
      <w:r w:rsidR="0045581F">
        <w:rPr>
          <w:sz w:val="24"/>
          <w:szCs w:val="24"/>
        </w:rPr>
        <w:t>ee Elstub 2014).</w:t>
      </w:r>
    </w:p>
    <w:p w:rsidR="00D35831" w:rsidRPr="00D35831" w:rsidRDefault="00D35831" w:rsidP="00D35831">
      <w:pPr>
        <w:jc w:val="both"/>
        <w:rPr>
          <w:sz w:val="24"/>
          <w:szCs w:val="24"/>
        </w:rPr>
      </w:pPr>
      <w:r w:rsidRPr="00D35831">
        <w:rPr>
          <w:sz w:val="24"/>
          <w:szCs w:val="24"/>
        </w:rPr>
        <w:t>We did not consider the number and types of expert that declined invitations to be witnesses and this was not an aspect commonly reported on. However, in studies outside of the social policy domain this is raised as a challenge for mini-public organisers, particularly non-advocate witnesses (Roberts and Lightbody</w:t>
      </w:r>
      <w:r>
        <w:rPr>
          <w:sz w:val="24"/>
          <w:szCs w:val="24"/>
        </w:rPr>
        <w:t xml:space="preserve"> 2017</w:t>
      </w:r>
      <w:r w:rsidRPr="00D35831">
        <w:rPr>
          <w:sz w:val="24"/>
          <w:szCs w:val="24"/>
        </w:rPr>
        <w:t xml:space="preserve">). </w:t>
      </w:r>
      <w:r w:rsidR="0045581F">
        <w:rPr>
          <w:sz w:val="24"/>
          <w:szCs w:val="24"/>
        </w:rPr>
        <w:t>Nevertheless, a</w:t>
      </w:r>
      <w:r w:rsidRPr="00D35831">
        <w:rPr>
          <w:sz w:val="24"/>
          <w:szCs w:val="24"/>
        </w:rPr>
        <w:t xml:space="preserve">s Roberts and Lightbody (2017) note the greater the potential for the mini-public to have impact on policy and practice, the easier it is likely to be to recruit the desired witnesses. </w:t>
      </w:r>
    </w:p>
    <w:p w:rsidR="00B03D69" w:rsidRDefault="00B03D69" w:rsidP="00D35831">
      <w:pPr>
        <w:jc w:val="both"/>
        <w:rPr>
          <w:sz w:val="24"/>
          <w:szCs w:val="24"/>
        </w:rPr>
      </w:pPr>
      <w:r w:rsidRPr="00B57114">
        <w:rPr>
          <w:b/>
          <w:color w:val="0B5484" w:themeColor="accent1" w:themeShade="80"/>
          <w:sz w:val="24"/>
          <w:szCs w:val="24"/>
        </w:rPr>
        <w:t>Additional Cases:</w:t>
      </w:r>
      <w:r>
        <w:rPr>
          <w:b/>
          <w:sz w:val="24"/>
          <w:szCs w:val="24"/>
        </w:rPr>
        <w:t xml:space="preserve"> </w:t>
      </w:r>
      <w:r w:rsidRPr="00B03D69">
        <w:rPr>
          <w:sz w:val="24"/>
          <w:szCs w:val="24"/>
        </w:rPr>
        <w:t>in addition to cases from</w:t>
      </w:r>
      <w:r>
        <w:rPr>
          <w:sz w:val="24"/>
          <w:szCs w:val="24"/>
        </w:rPr>
        <w:t xml:space="preserve"> the countries considered in this report, it would be worthwhile considering others too. There have been numerous mini-publics on social policy and </w:t>
      </w:r>
      <w:r>
        <w:rPr>
          <w:sz w:val="24"/>
          <w:szCs w:val="24"/>
        </w:rPr>
        <w:lastRenderedPageBreak/>
        <w:t xml:space="preserve">practice issues </w:t>
      </w:r>
      <w:r w:rsidR="00DA63C7">
        <w:rPr>
          <w:sz w:val="24"/>
          <w:szCs w:val="24"/>
        </w:rPr>
        <w:t>in Canada, which me</w:t>
      </w:r>
      <w:r w:rsidR="00E81254">
        <w:rPr>
          <w:sz w:val="24"/>
          <w:szCs w:val="24"/>
        </w:rPr>
        <w:t>rit further investigation. The Citizen A</w:t>
      </w:r>
      <w:r w:rsidR="00DA63C7">
        <w:rPr>
          <w:sz w:val="24"/>
          <w:szCs w:val="24"/>
        </w:rPr>
        <w:t xml:space="preserve">ssembly in Ireland has been particularly influential on such issues as same-sex marriage and abortion and further exploration of how they used evidence and experts could be revealing as this mini-public has had some substantive impact. It further represents an intriguing case as politicians participated along-side the citizen sample, which is an unusual format for a mini-public (Harris forthcoming 2018). </w:t>
      </w:r>
      <w:r w:rsidR="00034A28">
        <w:rPr>
          <w:sz w:val="24"/>
          <w:szCs w:val="24"/>
        </w:rPr>
        <w:t>Furthermore, we have recommended a case study from each country. However, some of the cases we have suggested appear more interesting than others. Some of the countries covered had several relevant cases while others had very few. Investigating more than one case from some of the countries, at the expense of cases from others</w:t>
      </w:r>
      <w:r w:rsidR="00B57114">
        <w:rPr>
          <w:sz w:val="24"/>
          <w:szCs w:val="24"/>
        </w:rPr>
        <w:t>,</w:t>
      </w:r>
      <w:r w:rsidR="00034A28">
        <w:rPr>
          <w:sz w:val="24"/>
          <w:szCs w:val="24"/>
        </w:rPr>
        <w:t xml:space="preserve"> could be beneficial to the research project.</w:t>
      </w:r>
    </w:p>
    <w:p w:rsidR="00DE2CD5" w:rsidRPr="00DE2CD5" w:rsidRDefault="00DE2CD5" w:rsidP="00D35831">
      <w:pPr>
        <w:jc w:val="both"/>
        <w:rPr>
          <w:sz w:val="24"/>
          <w:szCs w:val="24"/>
        </w:rPr>
      </w:pPr>
      <w:r w:rsidRPr="00B57114">
        <w:rPr>
          <w:b/>
          <w:color w:val="0B5484" w:themeColor="accent1" w:themeShade="80"/>
          <w:sz w:val="24"/>
          <w:szCs w:val="24"/>
        </w:rPr>
        <w:t>Evidence Provision Experimentation:</w:t>
      </w:r>
      <w:r>
        <w:rPr>
          <w:b/>
          <w:sz w:val="24"/>
          <w:szCs w:val="24"/>
        </w:rPr>
        <w:t xml:space="preserve"> </w:t>
      </w:r>
      <w:r w:rsidR="007A5869">
        <w:rPr>
          <w:sz w:val="24"/>
          <w:szCs w:val="24"/>
        </w:rPr>
        <w:t>the results from our review indicate that little experimentation in mini-publics is occurring with respect to the provision of evidence to the participants; at least in the social policy and practice area. Nearly all use standard approaches of written briefing materials, expert presentations and question and answer sessions. Consequently, we do not really know that these are the most effective methods to communicate complex issues and evidence to a diverse sample of lay citizens. We would therefore encourage mini-public organisers to be more inventive and experimental in this area.</w:t>
      </w:r>
    </w:p>
    <w:p w:rsidR="00DE2CD5" w:rsidRDefault="00DE2CD5" w:rsidP="00DE2CD5">
      <w:pPr>
        <w:jc w:val="both"/>
        <w:rPr>
          <w:sz w:val="24"/>
          <w:szCs w:val="24"/>
        </w:rPr>
      </w:pPr>
      <w:r w:rsidRPr="009511A4">
        <w:rPr>
          <w:b/>
          <w:color w:val="0B5484" w:themeColor="accent1" w:themeShade="80"/>
          <w:sz w:val="24"/>
          <w:szCs w:val="24"/>
        </w:rPr>
        <w:t>Mini-public Research and Reports:</w:t>
      </w:r>
      <w:r>
        <w:rPr>
          <w:b/>
          <w:sz w:val="24"/>
          <w:szCs w:val="24"/>
        </w:rPr>
        <w:t xml:space="preserve"> </w:t>
      </w:r>
      <w:r>
        <w:rPr>
          <w:sz w:val="24"/>
          <w:szCs w:val="24"/>
        </w:rPr>
        <w:t xml:space="preserve">as highlighted in the previous section many of the sources covering various mini-public cases did not detail many of the salient features such as citizen and witness recruitment, evidence </w:t>
      </w:r>
      <w:r w:rsidR="00E81254">
        <w:rPr>
          <w:sz w:val="24"/>
          <w:szCs w:val="24"/>
        </w:rPr>
        <w:t>provision</w:t>
      </w:r>
      <w:r>
        <w:rPr>
          <w:sz w:val="24"/>
          <w:szCs w:val="24"/>
        </w:rPr>
        <w:t xml:space="preserve"> methods, influence of evidence on participants, and influence of the mini-public on policy and practice. These factors are crucial to ascertaining the robustness of any mini-public case. We therefore recommend that these factors must be more central to case reviews of mini-publics in the future, regardless of the precise focus of the study. Consequently, we agree with Street et al. (2014) ‘that improvements in reporting the practice of citizens’ juries could produce insights relevant to the macro-political uptake of deliberative processes and strengthen dialogue between deliberative practitioners and theoreticians.’</w:t>
      </w:r>
    </w:p>
    <w:p w:rsidR="007A5869" w:rsidRDefault="007A5869" w:rsidP="00E927B0">
      <w:pPr>
        <w:jc w:val="both"/>
        <w:rPr>
          <w:b/>
          <w:color w:val="0B5484" w:themeColor="accent1" w:themeShade="80"/>
          <w:sz w:val="36"/>
          <w:szCs w:val="36"/>
        </w:rPr>
      </w:pPr>
    </w:p>
    <w:p w:rsidR="00BD3111" w:rsidRDefault="00BD3111" w:rsidP="00E927B0">
      <w:pPr>
        <w:jc w:val="both"/>
        <w:rPr>
          <w:b/>
          <w:color w:val="0B5484" w:themeColor="accent1" w:themeShade="80"/>
          <w:sz w:val="36"/>
          <w:szCs w:val="36"/>
        </w:rPr>
      </w:pPr>
    </w:p>
    <w:p w:rsidR="00BD3111" w:rsidRDefault="00BD3111" w:rsidP="00E927B0">
      <w:pPr>
        <w:jc w:val="both"/>
        <w:rPr>
          <w:b/>
          <w:color w:val="0B5484" w:themeColor="accent1" w:themeShade="80"/>
          <w:sz w:val="36"/>
          <w:szCs w:val="36"/>
        </w:rPr>
      </w:pPr>
    </w:p>
    <w:p w:rsidR="00BD3111" w:rsidRDefault="00BD3111" w:rsidP="00E927B0">
      <w:pPr>
        <w:jc w:val="both"/>
        <w:rPr>
          <w:b/>
          <w:color w:val="0B5484" w:themeColor="accent1" w:themeShade="80"/>
          <w:sz w:val="36"/>
          <w:szCs w:val="36"/>
        </w:rPr>
      </w:pPr>
    </w:p>
    <w:p w:rsidR="00BD3111" w:rsidRDefault="00BD3111" w:rsidP="00E927B0">
      <w:pPr>
        <w:jc w:val="both"/>
        <w:rPr>
          <w:b/>
          <w:color w:val="0B5484" w:themeColor="accent1" w:themeShade="80"/>
          <w:sz w:val="36"/>
          <w:szCs w:val="36"/>
        </w:rPr>
      </w:pPr>
    </w:p>
    <w:p w:rsidR="00BD3111" w:rsidRDefault="00BD3111" w:rsidP="00E927B0">
      <w:pPr>
        <w:jc w:val="both"/>
        <w:rPr>
          <w:b/>
          <w:color w:val="0B5484" w:themeColor="accent1" w:themeShade="80"/>
          <w:sz w:val="36"/>
          <w:szCs w:val="36"/>
        </w:rPr>
      </w:pPr>
    </w:p>
    <w:p w:rsidR="00BD3111" w:rsidRDefault="00BD3111" w:rsidP="00E927B0">
      <w:pPr>
        <w:jc w:val="both"/>
        <w:rPr>
          <w:b/>
          <w:color w:val="0B5484" w:themeColor="accent1" w:themeShade="80"/>
          <w:sz w:val="36"/>
          <w:szCs w:val="36"/>
        </w:rPr>
      </w:pPr>
    </w:p>
    <w:p w:rsidR="00BD3111" w:rsidRDefault="00BD3111" w:rsidP="00E927B0">
      <w:pPr>
        <w:jc w:val="both"/>
        <w:rPr>
          <w:b/>
          <w:color w:val="0B5484" w:themeColor="accent1" w:themeShade="80"/>
          <w:sz w:val="36"/>
          <w:szCs w:val="36"/>
        </w:rPr>
      </w:pPr>
    </w:p>
    <w:p w:rsidR="00BD3111" w:rsidRDefault="00BD3111" w:rsidP="00E927B0">
      <w:pPr>
        <w:jc w:val="both"/>
        <w:rPr>
          <w:b/>
          <w:color w:val="0B5484" w:themeColor="accent1" w:themeShade="80"/>
          <w:sz w:val="36"/>
          <w:szCs w:val="36"/>
        </w:rPr>
      </w:pPr>
    </w:p>
    <w:p w:rsidR="00BD3111" w:rsidRDefault="00BD3111" w:rsidP="00E927B0">
      <w:pPr>
        <w:jc w:val="both"/>
        <w:rPr>
          <w:b/>
          <w:color w:val="0B5484" w:themeColor="accent1" w:themeShade="80"/>
          <w:sz w:val="36"/>
          <w:szCs w:val="36"/>
        </w:rPr>
      </w:pPr>
    </w:p>
    <w:p w:rsidR="00E927B0" w:rsidRDefault="00E927B0" w:rsidP="00E927B0">
      <w:pPr>
        <w:jc w:val="both"/>
        <w:rPr>
          <w:b/>
          <w:color w:val="0B5484" w:themeColor="accent1" w:themeShade="80"/>
          <w:sz w:val="36"/>
          <w:szCs w:val="36"/>
        </w:rPr>
      </w:pPr>
      <w:r>
        <w:rPr>
          <w:b/>
          <w:color w:val="0B5484" w:themeColor="accent1" w:themeShade="80"/>
          <w:sz w:val="36"/>
          <w:szCs w:val="36"/>
        </w:rPr>
        <w:lastRenderedPageBreak/>
        <w:t>References</w:t>
      </w:r>
    </w:p>
    <w:p w:rsidR="00794045" w:rsidRPr="00794045" w:rsidRDefault="00794045" w:rsidP="00794045">
      <w:pPr>
        <w:jc w:val="both"/>
        <w:rPr>
          <w:sz w:val="24"/>
          <w:szCs w:val="24"/>
        </w:rPr>
      </w:pPr>
      <w:proofErr w:type="spellStart"/>
      <w:r w:rsidRPr="00794045">
        <w:rPr>
          <w:sz w:val="24"/>
          <w:szCs w:val="24"/>
        </w:rPr>
        <w:t>Adebowale</w:t>
      </w:r>
      <w:proofErr w:type="spellEnd"/>
      <w:r w:rsidRPr="00794045">
        <w:rPr>
          <w:sz w:val="24"/>
          <w:szCs w:val="24"/>
        </w:rPr>
        <w:t xml:space="preserve">, L., </w:t>
      </w:r>
      <w:proofErr w:type="spellStart"/>
      <w:r w:rsidRPr="00794045">
        <w:rPr>
          <w:sz w:val="24"/>
          <w:szCs w:val="24"/>
        </w:rPr>
        <w:t>Devane</w:t>
      </w:r>
      <w:proofErr w:type="spellEnd"/>
      <w:r w:rsidRPr="00794045">
        <w:rPr>
          <w:sz w:val="24"/>
          <w:szCs w:val="24"/>
        </w:rPr>
        <w:t xml:space="preserve">, C. &amp; Kelsey, T. (2015) </w:t>
      </w:r>
      <w:r w:rsidR="00C7150E">
        <w:rPr>
          <w:sz w:val="24"/>
          <w:szCs w:val="24"/>
        </w:rPr>
        <w:t>‘</w:t>
      </w:r>
      <w:r w:rsidRPr="00794045">
        <w:rPr>
          <w:sz w:val="24"/>
          <w:szCs w:val="24"/>
        </w:rPr>
        <w:t>Review of NHS Citizen and the NHS Citizens Assembly at the AGM.</w:t>
      </w:r>
      <w:r w:rsidR="00C7150E">
        <w:rPr>
          <w:sz w:val="24"/>
          <w:szCs w:val="24"/>
        </w:rPr>
        <w:t>’</w:t>
      </w:r>
      <w:r w:rsidRPr="00794045">
        <w:rPr>
          <w:sz w:val="24"/>
          <w:szCs w:val="24"/>
        </w:rPr>
        <w:t xml:space="preserve"> Board Paper - NHS England, Paper: NHSE111403. Available online: https://www.england.nhs.uk/wp-content/uploads/2014/10/item5-board-1114.pdf</w:t>
      </w:r>
    </w:p>
    <w:p w:rsidR="00794045" w:rsidRPr="00794045" w:rsidRDefault="00794045" w:rsidP="00794045">
      <w:pPr>
        <w:jc w:val="both"/>
        <w:rPr>
          <w:sz w:val="24"/>
          <w:szCs w:val="24"/>
        </w:rPr>
      </w:pPr>
      <w:proofErr w:type="spellStart"/>
      <w:r w:rsidRPr="00794045">
        <w:rPr>
          <w:sz w:val="24"/>
          <w:szCs w:val="24"/>
        </w:rPr>
        <w:t>Arbus</w:t>
      </w:r>
      <w:proofErr w:type="spellEnd"/>
      <w:r w:rsidRPr="00794045">
        <w:rPr>
          <w:sz w:val="24"/>
          <w:szCs w:val="24"/>
        </w:rPr>
        <w:t xml:space="preserve">, C., Clement, J., </w:t>
      </w:r>
      <w:proofErr w:type="spellStart"/>
      <w:r w:rsidRPr="00794045">
        <w:rPr>
          <w:sz w:val="24"/>
          <w:szCs w:val="24"/>
        </w:rPr>
        <w:t>Bougerol</w:t>
      </w:r>
      <w:proofErr w:type="spellEnd"/>
      <w:r w:rsidRPr="00794045">
        <w:rPr>
          <w:sz w:val="24"/>
          <w:szCs w:val="24"/>
        </w:rPr>
        <w:t xml:space="preserve">, T., Fremont, P., </w:t>
      </w:r>
      <w:proofErr w:type="spellStart"/>
      <w:r w:rsidRPr="00794045">
        <w:rPr>
          <w:sz w:val="24"/>
          <w:szCs w:val="24"/>
        </w:rPr>
        <w:t>La</w:t>
      </w:r>
      <w:r w:rsidR="00C7150E">
        <w:rPr>
          <w:sz w:val="24"/>
          <w:szCs w:val="24"/>
        </w:rPr>
        <w:t>ncrenon</w:t>
      </w:r>
      <w:proofErr w:type="spellEnd"/>
      <w:r w:rsidR="00C7150E">
        <w:rPr>
          <w:sz w:val="24"/>
          <w:szCs w:val="24"/>
        </w:rPr>
        <w:t>, S., &amp; Camus, V. (2012)</w:t>
      </w:r>
      <w:r w:rsidRPr="00794045">
        <w:rPr>
          <w:sz w:val="24"/>
          <w:szCs w:val="24"/>
        </w:rPr>
        <w:t xml:space="preserve"> </w:t>
      </w:r>
      <w:r w:rsidR="00C7150E">
        <w:rPr>
          <w:sz w:val="24"/>
          <w:szCs w:val="24"/>
        </w:rPr>
        <w:t>‘</w:t>
      </w:r>
      <w:r w:rsidRPr="00794045">
        <w:rPr>
          <w:sz w:val="24"/>
          <w:szCs w:val="24"/>
        </w:rPr>
        <w:t>Health management of older persons with chronically medicated psychotic disorders: The results of a survey in France.</w:t>
      </w:r>
      <w:r w:rsidR="00C7150E">
        <w:rPr>
          <w:sz w:val="24"/>
          <w:szCs w:val="24"/>
        </w:rPr>
        <w:t>’</w:t>
      </w:r>
      <w:r w:rsidRPr="00794045">
        <w:rPr>
          <w:sz w:val="24"/>
          <w:szCs w:val="24"/>
        </w:rPr>
        <w:t xml:space="preserve"> </w:t>
      </w:r>
      <w:r w:rsidRPr="00794045">
        <w:rPr>
          <w:i/>
          <w:sz w:val="24"/>
          <w:szCs w:val="24"/>
        </w:rPr>
        <w:t xml:space="preserve">International </w:t>
      </w:r>
      <w:proofErr w:type="spellStart"/>
      <w:r w:rsidRPr="00794045">
        <w:rPr>
          <w:i/>
          <w:sz w:val="24"/>
          <w:szCs w:val="24"/>
        </w:rPr>
        <w:t>Psychogeriatrics</w:t>
      </w:r>
      <w:proofErr w:type="spellEnd"/>
      <w:r>
        <w:rPr>
          <w:sz w:val="24"/>
          <w:szCs w:val="24"/>
        </w:rPr>
        <w:t>, 24(30</w:t>
      </w:r>
      <w:r w:rsidR="00C7150E">
        <w:rPr>
          <w:sz w:val="24"/>
          <w:szCs w:val="24"/>
        </w:rPr>
        <w:t>)</w:t>
      </w:r>
      <w:r>
        <w:rPr>
          <w:sz w:val="24"/>
          <w:szCs w:val="24"/>
        </w:rPr>
        <w:t xml:space="preserve">: </w:t>
      </w:r>
      <w:r w:rsidRPr="00794045">
        <w:rPr>
          <w:sz w:val="24"/>
          <w:szCs w:val="24"/>
        </w:rPr>
        <w:t>496-502</w:t>
      </w:r>
      <w:r>
        <w:rPr>
          <w:sz w:val="24"/>
          <w:szCs w:val="24"/>
        </w:rPr>
        <w:t xml:space="preserve">. </w:t>
      </w:r>
    </w:p>
    <w:p w:rsidR="0092693A" w:rsidRDefault="0092693A" w:rsidP="0092693A">
      <w:pPr>
        <w:jc w:val="both"/>
        <w:rPr>
          <w:sz w:val="24"/>
          <w:szCs w:val="24"/>
        </w:rPr>
      </w:pPr>
      <w:r w:rsidRPr="0092693A">
        <w:rPr>
          <w:sz w:val="24"/>
          <w:szCs w:val="24"/>
        </w:rPr>
        <w:fldChar w:fldCharType="begin" w:fldLock="1"/>
      </w:r>
      <w:r w:rsidRPr="0092693A">
        <w:rPr>
          <w:sz w:val="24"/>
          <w:szCs w:val="24"/>
        </w:rPr>
        <w:instrText xml:space="preserve">ADDIN Mendeley Bibliography CSL_BIBLIOGRAPHY </w:instrText>
      </w:r>
      <w:r w:rsidRPr="0092693A">
        <w:rPr>
          <w:sz w:val="24"/>
          <w:szCs w:val="24"/>
        </w:rPr>
        <w:fldChar w:fldCharType="separate"/>
      </w:r>
      <w:r w:rsidR="00C7150E">
        <w:rPr>
          <w:sz w:val="24"/>
          <w:szCs w:val="24"/>
        </w:rPr>
        <w:t>Bereano, P. (1999)</w:t>
      </w:r>
      <w:r w:rsidRPr="0092693A">
        <w:rPr>
          <w:sz w:val="24"/>
          <w:szCs w:val="24"/>
        </w:rPr>
        <w:t xml:space="preserve"> </w:t>
      </w:r>
      <w:r w:rsidRPr="0092693A">
        <w:rPr>
          <w:i/>
          <w:iCs/>
          <w:sz w:val="24"/>
          <w:szCs w:val="24"/>
        </w:rPr>
        <w:t>Report on Danish Citizen Consensus Conference on Genetically Engineered Foods</w:t>
      </w:r>
      <w:r w:rsidRPr="0092693A">
        <w:rPr>
          <w:sz w:val="24"/>
          <w:szCs w:val="24"/>
        </w:rPr>
        <w:t>.</w:t>
      </w:r>
    </w:p>
    <w:p w:rsidR="0031061C" w:rsidRDefault="0031061C" w:rsidP="0092693A">
      <w:pPr>
        <w:jc w:val="both"/>
        <w:rPr>
          <w:sz w:val="24"/>
          <w:szCs w:val="24"/>
        </w:rPr>
      </w:pPr>
      <w:r w:rsidRPr="0031061C">
        <w:rPr>
          <w:sz w:val="24"/>
          <w:szCs w:val="24"/>
        </w:rPr>
        <w:t xml:space="preserve">Bland, N. (2017) Local solutions to local problems: innovation in public services. </w:t>
      </w:r>
      <w:r w:rsidRPr="00C43E26">
        <w:rPr>
          <w:i/>
          <w:sz w:val="24"/>
          <w:szCs w:val="24"/>
        </w:rPr>
        <w:t>What Works Scotland</w:t>
      </w:r>
      <w:r w:rsidRPr="0031061C">
        <w:rPr>
          <w:sz w:val="24"/>
          <w:szCs w:val="24"/>
        </w:rPr>
        <w:t>. Available online</w:t>
      </w:r>
      <w:r>
        <w:rPr>
          <w:sz w:val="24"/>
          <w:szCs w:val="24"/>
        </w:rPr>
        <w:t xml:space="preserve">: </w:t>
      </w:r>
      <w:r w:rsidRPr="0031061C">
        <w:rPr>
          <w:sz w:val="24"/>
          <w:szCs w:val="24"/>
        </w:rPr>
        <w:t>http://whatworksscotland.ac.uk/wp-content/uploads/2017/06/SIPRAnnualReport2016NickBlandLocalParticipation.pdf</w:t>
      </w:r>
    </w:p>
    <w:p w:rsidR="00FE37C0" w:rsidRPr="00FE37C0" w:rsidRDefault="00FE37C0" w:rsidP="00FE37C0">
      <w:pPr>
        <w:jc w:val="both"/>
        <w:rPr>
          <w:sz w:val="24"/>
          <w:szCs w:val="24"/>
        </w:rPr>
      </w:pPr>
      <w:r w:rsidRPr="00FE37C0">
        <w:rPr>
          <w:sz w:val="24"/>
          <w:szCs w:val="24"/>
        </w:rPr>
        <w:t xml:space="preserve">Böker, M. and Elstub, S. (2015) ‘The Possibility of Critical Mini-Publics: Realpolitik and Normative Cycles in Democratic Theory’, </w:t>
      </w:r>
      <w:r w:rsidRPr="00FE37C0">
        <w:rPr>
          <w:i/>
          <w:sz w:val="24"/>
          <w:szCs w:val="24"/>
        </w:rPr>
        <w:t>Representation</w:t>
      </w:r>
      <w:r w:rsidRPr="00FE37C0">
        <w:rPr>
          <w:sz w:val="24"/>
          <w:szCs w:val="24"/>
        </w:rPr>
        <w:t>,</w:t>
      </w:r>
      <w:r w:rsidRPr="00FE37C0">
        <w:rPr>
          <w:i/>
          <w:sz w:val="24"/>
          <w:szCs w:val="24"/>
        </w:rPr>
        <w:t xml:space="preserve"> </w:t>
      </w:r>
      <w:r w:rsidRPr="00FE37C0">
        <w:rPr>
          <w:sz w:val="24"/>
          <w:szCs w:val="24"/>
        </w:rPr>
        <w:t>51(1): 125-144.</w:t>
      </w:r>
    </w:p>
    <w:p w:rsidR="00E927B0" w:rsidRDefault="0092693A" w:rsidP="00E927B0">
      <w:pPr>
        <w:jc w:val="both"/>
        <w:rPr>
          <w:sz w:val="24"/>
          <w:szCs w:val="24"/>
        </w:rPr>
      </w:pPr>
      <w:r w:rsidRPr="0092693A">
        <w:rPr>
          <w:sz w:val="24"/>
          <w:szCs w:val="24"/>
        </w:rPr>
        <w:fldChar w:fldCharType="end"/>
      </w:r>
      <w:proofErr w:type="spellStart"/>
      <w:r w:rsidR="00E927B0" w:rsidRPr="00E927B0">
        <w:rPr>
          <w:sz w:val="24"/>
          <w:szCs w:val="24"/>
        </w:rPr>
        <w:t>Braunack</w:t>
      </w:r>
      <w:proofErr w:type="spellEnd"/>
      <w:r w:rsidR="00E927B0" w:rsidRPr="00E927B0">
        <w:rPr>
          <w:sz w:val="24"/>
          <w:szCs w:val="24"/>
        </w:rPr>
        <w:t xml:space="preserve">-Mayer, A. J., Street, J. M., Rogers, W. A., </w:t>
      </w:r>
      <w:proofErr w:type="spellStart"/>
      <w:r w:rsidR="00E927B0" w:rsidRPr="00E927B0">
        <w:rPr>
          <w:sz w:val="24"/>
          <w:szCs w:val="24"/>
        </w:rPr>
        <w:t>Givney</w:t>
      </w:r>
      <w:proofErr w:type="spellEnd"/>
      <w:r w:rsidR="00E927B0" w:rsidRPr="00E927B0">
        <w:rPr>
          <w:sz w:val="24"/>
          <w:szCs w:val="24"/>
        </w:rPr>
        <w:t xml:space="preserve">, R., Moss, J. R., &amp; Hiller, J. E. (2010) </w:t>
      </w:r>
      <w:r w:rsidR="00421349">
        <w:rPr>
          <w:sz w:val="24"/>
          <w:szCs w:val="24"/>
        </w:rPr>
        <w:t>‘Including the p</w:t>
      </w:r>
      <w:r w:rsidR="00E927B0" w:rsidRPr="00E927B0">
        <w:rPr>
          <w:sz w:val="24"/>
          <w:szCs w:val="24"/>
        </w:rPr>
        <w:t>ublic in pandemic planning: a deliberative approach</w:t>
      </w:r>
      <w:r w:rsidR="00421349">
        <w:rPr>
          <w:sz w:val="24"/>
          <w:szCs w:val="24"/>
        </w:rPr>
        <w:t>’,</w:t>
      </w:r>
      <w:r w:rsidR="00E927B0" w:rsidRPr="00E927B0">
        <w:rPr>
          <w:sz w:val="24"/>
          <w:szCs w:val="24"/>
        </w:rPr>
        <w:t> </w:t>
      </w:r>
      <w:r w:rsidR="00E927B0" w:rsidRPr="00E927B0">
        <w:rPr>
          <w:i/>
          <w:iCs/>
          <w:sz w:val="24"/>
          <w:szCs w:val="24"/>
        </w:rPr>
        <w:t>BMC public health</w:t>
      </w:r>
      <w:r w:rsidR="00E927B0" w:rsidRPr="00E927B0">
        <w:rPr>
          <w:sz w:val="24"/>
          <w:szCs w:val="24"/>
        </w:rPr>
        <w:t>, </w:t>
      </w:r>
      <w:r w:rsidR="00E927B0" w:rsidRPr="00E927B0">
        <w:rPr>
          <w:i/>
          <w:iCs/>
          <w:sz w:val="24"/>
          <w:szCs w:val="24"/>
        </w:rPr>
        <w:t>10</w:t>
      </w:r>
      <w:r w:rsidR="00421349">
        <w:rPr>
          <w:sz w:val="24"/>
          <w:szCs w:val="24"/>
        </w:rPr>
        <w:t>(1):</w:t>
      </w:r>
      <w:r w:rsidR="00E927B0" w:rsidRPr="00E927B0">
        <w:rPr>
          <w:sz w:val="24"/>
          <w:szCs w:val="24"/>
        </w:rPr>
        <w:t xml:space="preserve"> 501.</w:t>
      </w:r>
    </w:p>
    <w:p w:rsidR="009511A4" w:rsidRPr="009511A4" w:rsidRDefault="009511A4" w:rsidP="009511A4">
      <w:pPr>
        <w:jc w:val="both"/>
        <w:rPr>
          <w:sz w:val="24"/>
          <w:szCs w:val="24"/>
        </w:rPr>
      </w:pPr>
      <w:r w:rsidRPr="009511A4">
        <w:rPr>
          <w:sz w:val="24"/>
          <w:szCs w:val="24"/>
        </w:rPr>
        <w:t>B</w:t>
      </w:r>
      <w:r w:rsidR="00AB499E">
        <w:rPr>
          <w:sz w:val="24"/>
          <w:szCs w:val="24"/>
        </w:rPr>
        <w:t>rown</w:t>
      </w:r>
      <w:r w:rsidRPr="009511A4">
        <w:rPr>
          <w:sz w:val="24"/>
          <w:szCs w:val="24"/>
        </w:rPr>
        <w:t xml:space="preserve">, M. </w:t>
      </w:r>
      <w:r w:rsidR="00AB499E">
        <w:rPr>
          <w:sz w:val="24"/>
          <w:szCs w:val="24"/>
        </w:rPr>
        <w:t>(2014)</w:t>
      </w:r>
      <w:r w:rsidRPr="009511A4">
        <w:rPr>
          <w:sz w:val="24"/>
          <w:szCs w:val="24"/>
        </w:rPr>
        <w:t xml:space="preserve"> </w:t>
      </w:r>
      <w:r w:rsidR="00AB499E">
        <w:rPr>
          <w:sz w:val="24"/>
          <w:szCs w:val="24"/>
        </w:rPr>
        <w:t>‘</w:t>
      </w:r>
      <w:r w:rsidRPr="009511A4">
        <w:rPr>
          <w:sz w:val="24"/>
          <w:szCs w:val="24"/>
        </w:rPr>
        <w:t>Expertise and deliberative democracy.</w:t>
      </w:r>
      <w:r w:rsidR="00AB499E">
        <w:rPr>
          <w:sz w:val="24"/>
          <w:szCs w:val="24"/>
        </w:rPr>
        <w:t>’</w:t>
      </w:r>
      <w:r w:rsidRPr="009511A4">
        <w:rPr>
          <w:sz w:val="24"/>
          <w:szCs w:val="24"/>
        </w:rPr>
        <w:t xml:space="preserve"> </w:t>
      </w:r>
      <w:r w:rsidRPr="009511A4">
        <w:rPr>
          <w:i/>
          <w:iCs/>
          <w:sz w:val="24"/>
          <w:szCs w:val="24"/>
        </w:rPr>
        <w:t xml:space="preserve">In: </w:t>
      </w:r>
      <w:r w:rsidRPr="009511A4">
        <w:rPr>
          <w:sz w:val="24"/>
          <w:szCs w:val="24"/>
        </w:rPr>
        <w:t>E</w:t>
      </w:r>
      <w:r w:rsidR="00AB499E">
        <w:rPr>
          <w:sz w:val="24"/>
          <w:szCs w:val="24"/>
        </w:rPr>
        <w:t>lstub</w:t>
      </w:r>
      <w:r w:rsidRPr="009511A4">
        <w:rPr>
          <w:sz w:val="24"/>
          <w:szCs w:val="24"/>
        </w:rPr>
        <w:t>, S. &amp; M</w:t>
      </w:r>
      <w:r w:rsidR="00AB499E">
        <w:rPr>
          <w:sz w:val="24"/>
          <w:szCs w:val="24"/>
        </w:rPr>
        <w:t>cLaverty</w:t>
      </w:r>
      <w:r w:rsidRPr="009511A4">
        <w:rPr>
          <w:sz w:val="24"/>
          <w:szCs w:val="24"/>
        </w:rPr>
        <w:t>, P.</w:t>
      </w:r>
    </w:p>
    <w:p w:rsidR="009511A4" w:rsidRDefault="009511A4" w:rsidP="009511A4">
      <w:pPr>
        <w:jc w:val="both"/>
        <w:rPr>
          <w:sz w:val="24"/>
          <w:szCs w:val="24"/>
        </w:rPr>
      </w:pPr>
      <w:r w:rsidRPr="009511A4">
        <w:rPr>
          <w:sz w:val="24"/>
          <w:szCs w:val="24"/>
        </w:rPr>
        <w:t xml:space="preserve">(eds.) </w:t>
      </w:r>
      <w:r w:rsidRPr="009511A4">
        <w:rPr>
          <w:i/>
          <w:iCs/>
          <w:sz w:val="24"/>
          <w:szCs w:val="24"/>
        </w:rPr>
        <w:t xml:space="preserve">Deliberative Democracy: Issues and Cases. </w:t>
      </w:r>
      <w:r w:rsidRPr="009511A4">
        <w:rPr>
          <w:sz w:val="24"/>
          <w:szCs w:val="24"/>
        </w:rPr>
        <w:t>Edinburgh University Press.</w:t>
      </w:r>
    </w:p>
    <w:p w:rsidR="00794045" w:rsidRDefault="00794045" w:rsidP="00794045">
      <w:pPr>
        <w:jc w:val="both"/>
        <w:rPr>
          <w:sz w:val="24"/>
          <w:szCs w:val="24"/>
        </w:rPr>
      </w:pPr>
      <w:r w:rsidRPr="00794045">
        <w:rPr>
          <w:sz w:val="24"/>
          <w:szCs w:val="24"/>
        </w:rPr>
        <w:t>Bussu, S. (</w:t>
      </w:r>
      <w:r>
        <w:rPr>
          <w:sz w:val="24"/>
          <w:szCs w:val="24"/>
        </w:rPr>
        <w:t>Forthcoming 2018</w:t>
      </w:r>
      <w:r w:rsidRPr="00794045">
        <w:rPr>
          <w:sz w:val="24"/>
          <w:szCs w:val="24"/>
        </w:rPr>
        <w:t xml:space="preserve">) </w:t>
      </w:r>
      <w:r>
        <w:rPr>
          <w:sz w:val="24"/>
          <w:szCs w:val="24"/>
        </w:rPr>
        <w:t>‘</w:t>
      </w:r>
      <w:r w:rsidR="00421349">
        <w:rPr>
          <w:sz w:val="24"/>
          <w:szCs w:val="24"/>
        </w:rPr>
        <w:t>Collaborative Governance: Between Invited and I</w:t>
      </w:r>
      <w:r w:rsidRPr="00794045">
        <w:rPr>
          <w:sz w:val="24"/>
          <w:szCs w:val="24"/>
        </w:rPr>
        <w:t xml:space="preserve">nvented </w:t>
      </w:r>
      <w:r w:rsidR="00421349">
        <w:rPr>
          <w:sz w:val="24"/>
          <w:szCs w:val="24"/>
        </w:rPr>
        <w:t>S</w:t>
      </w:r>
      <w:r w:rsidRPr="00794045">
        <w:rPr>
          <w:sz w:val="24"/>
          <w:szCs w:val="24"/>
        </w:rPr>
        <w:t>paces.</w:t>
      </w:r>
      <w:r w:rsidR="00421349">
        <w:rPr>
          <w:sz w:val="24"/>
          <w:szCs w:val="24"/>
        </w:rPr>
        <w:t xml:space="preserve">’ </w:t>
      </w:r>
      <w:r w:rsidR="00421349" w:rsidRPr="00421349">
        <w:rPr>
          <w:sz w:val="24"/>
          <w:szCs w:val="24"/>
        </w:rPr>
        <w:t>in S. Elstub &amp; O. Escobar (eds.), </w:t>
      </w:r>
      <w:r w:rsidR="00421349" w:rsidRPr="00421349">
        <w:rPr>
          <w:i/>
          <w:iCs/>
          <w:sz w:val="24"/>
          <w:szCs w:val="24"/>
        </w:rPr>
        <w:t>Handbook of Democratic Innovations and Governance</w:t>
      </w:r>
      <w:r w:rsidR="00421349" w:rsidRPr="00421349">
        <w:rPr>
          <w:sz w:val="24"/>
          <w:szCs w:val="24"/>
        </w:rPr>
        <w:t>, Edward Elgar.</w:t>
      </w:r>
    </w:p>
    <w:p w:rsidR="00AB499E" w:rsidRDefault="00AB499E" w:rsidP="00794045">
      <w:pPr>
        <w:jc w:val="both"/>
        <w:rPr>
          <w:sz w:val="24"/>
          <w:szCs w:val="24"/>
        </w:rPr>
      </w:pPr>
      <w:r>
        <w:rPr>
          <w:sz w:val="24"/>
          <w:szCs w:val="24"/>
        </w:rPr>
        <w:t xml:space="preserve">Carson, L., and </w:t>
      </w:r>
      <w:proofErr w:type="spellStart"/>
      <w:r>
        <w:rPr>
          <w:sz w:val="24"/>
          <w:szCs w:val="24"/>
        </w:rPr>
        <w:t>Schecter</w:t>
      </w:r>
      <w:proofErr w:type="spellEnd"/>
      <w:r>
        <w:rPr>
          <w:sz w:val="24"/>
          <w:szCs w:val="24"/>
        </w:rPr>
        <w:t xml:space="preserve">, D. (2017) ‘Choosing Expert Speakers’, The </w:t>
      </w:r>
      <w:proofErr w:type="spellStart"/>
      <w:r>
        <w:rPr>
          <w:sz w:val="24"/>
          <w:szCs w:val="24"/>
        </w:rPr>
        <w:t>newDemocracy</w:t>
      </w:r>
      <w:proofErr w:type="spellEnd"/>
      <w:r>
        <w:rPr>
          <w:sz w:val="24"/>
          <w:szCs w:val="24"/>
        </w:rPr>
        <w:t xml:space="preserve"> Foundation.</w:t>
      </w:r>
    </w:p>
    <w:p w:rsidR="00AB499E" w:rsidRDefault="00AB499E" w:rsidP="00794045">
      <w:pPr>
        <w:jc w:val="both"/>
        <w:rPr>
          <w:sz w:val="24"/>
          <w:szCs w:val="24"/>
        </w:rPr>
      </w:pPr>
      <w:r>
        <w:rPr>
          <w:sz w:val="24"/>
          <w:szCs w:val="24"/>
        </w:rPr>
        <w:t xml:space="preserve">Carson, L. (2017) ‘Hearing from experts’, The </w:t>
      </w:r>
      <w:proofErr w:type="spellStart"/>
      <w:r>
        <w:rPr>
          <w:sz w:val="24"/>
          <w:szCs w:val="24"/>
        </w:rPr>
        <w:t>newDemocracy</w:t>
      </w:r>
      <w:proofErr w:type="spellEnd"/>
      <w:r>
        <w:rPr>
          <w:sz w:val="24"/>
          <w:szCs w:val="24"/>
        </w:rPr>
        <w:t xml:space="preserve"> Foundation.</w:t>
      </w:r>
    </w:p>
    <w:p w:rsidR="00421349" w:rsidRDefault="00C7150E" w:rsidP="00421349">
      <w:pPr>
        <w:jc w:val="both"/>
        <w:rPr>
          <w:sz w:val="24"/>
          <w:szCs w:val="24"/>
        </w:rPr>
      </w:pPr>
      <w:r>
        <w:rPr>
          <w:sz w:val="24"/>
          <w:szCs w:val="24"/>
        </w:rPr>
        <w:t>Christie, B. (2012) ‘</w:t>
      </w:r>
      <w:r w:rsidR="00421349" w:rsidRPr="00421349">
        <w:rPr>
          <w:sz w:val="24"/>
          <w:szCs w:val="24"/>
        </w:rPr>
        <w:t>People over 65 should be screened for atrial fibrillation, say stroke specialists.</w:t>
      </w:r>
      <w:r>
        <w:rPr>
          <w:sz w:val="24"/>
          <w:szCs w:val="24"/>
        </w:rPr>
        <w:t>’</w:t>
      </w:r>
      <w:r w:rsidR="00421349" w:rsidRPr="00421349">
        <w:rPr>
          <w:sz w:val="24"/>
          <w:szCs w:val="24"/>
        </w:rPr>
        <w:t xml:space="preserve"> </w:t>
      </w:r>
      <w:r w:rsidR="00421349" w:rsidRPr="00421349">
        <w:rPr>
          <w:i/>
          <w:sz w:val="24"/>
          <w:szCs w:val="24"/>
        </w:rPr>
        <w:t>BMJ: British Medical Journal (Online)</w:t>
      </w:r>
      <w:r w:rsidR="00421349" w:rsidRPr="00421349">
        <w:rPr>
          <w:sz w:val="24"/>
          <w:szCs w:val="24"/>
        </w:rPr>
        <w:t>, 344.</w:t>
      </w:r>
    </w:p>
    <w:p w:rsidR="00337190" w:rsidRDefault="00206C79" w:rsidP="00D7466B">
      <w:pPr>
        <w:rPr>
          <w:sz w:val="24"/>
          <w:szCs w:val="24"/>
        </w:rPr>
      </w:pPr>
      <w:r w:rsidRPr="00206C79">
        <w:rPr>
          <w:sz w:val="24"/>
          <w:szCs w:val="24"/>
        </w:rPr>
        <w:t xml:space="preserve">Connected Health Cities (2017) Connected Health Cities Citizens’ Juries Report: A report of two citizens’ juries designed to explore whether the planned and potential uses of health data by Connected Health Cities are acceptable to the public. Available </w:t>
      </w:r>
      <w:r w:rsidR="00337190">
        <w:rPr>
          <w:sz w:val="24"/>
          <w:szCs w:val="24"/>
        </w:rPr>
        <w:t xml:space="preserve">at: </w:t>
      </w:r>
      <w:hyperlink r:id="rId10" w:history="1">
        <w:r w:rsidR="00337190" w:rsidRPr="00627155">
          <w:rPr>
            <w:rStyle w:val="Hyperlink"/>
            <w:sz w:val="24"/>
            <w:szCs w:val="24"/>
          </w:rPr>
          <w:t>https://www.connectedhealthcities.org/wp-content/uploads/2016/08/CHC-juries-report-Feb-2017.pdf</w:t>
        </w:r>
      </w:hyperlink>
      <w:r w:rsidR="00337190">
        <w:rPr>
          <w:sz w:val="24"/>
          <w:szCs w:val="24"/>
        </w:rPr>
        <w:t xml:space="preserve"> [Accessed June 26, 2018].</w:t>
      </w:r>
    </w:p>
    <w:p w:rsidR="00D7466B" w:rsidRDefault="00D7466B" w:rsidP="00D7466B">
      <w:pPr>
        <w:rPr>
          <w:sz w:val="24"/>
          <w:szCs w:val="24"/>
        </w:rPr>
      </w:pPr>
      <w:proofErr w:type="spellStart"/>
      <w:r w:rsidRPr="00D7466B">
        <w:rPr>
          <w:sz w:val="24"/>
          <w:szCs w:val="24"/>
        </w:rPr>
        <w:t>Cuppen</w:t>
      </w:r>
      <w:proofErr w:type="spellEnd"/>
      <w:r w:rsidRPr="00D7466B">
        <w:rPr>
          <w:sz w:val="24"/>
          <w:szCs w:val="24"/>
        </w:rPr>
        <w:t xml:space="preserve">, E. </w:t>
      </w:r>
      <w:r>
        <w:rPr>
          <w:sz w:val="24"/>
          <w:szCs w:val="24"/>
        </w:rPr>
        <w:t>(</w:t>
      </w:r>
      <w:r w:rsidRPr="00D7466B">
        <w:rPr>
          <w:sz w:val="24"/>
          <w:szCs w:val="24"/>
        </w:rPr>
        <w:t>2011</w:t>
      </w:r>
      <w:r>
        <w:rPr>
          <w:sz w:val="24"/>
          <w:szCs w:val="24"/>
        </w:rPr>
        <w:t>)</w:t>
      </w:r>
      <w:r w:rsidR="00C7150E">
        <w:rPr>
          <w:sz w:val="24"/>
          <w:szCs w:val="24"/>
        </w:rPr>
        <w:t xml:space="preserve"> ‘</w:t>
      </w:r>
      <w:r w:rsidRPr="00D7466B">
        <w:rPr>
          <w:sz w:val="24"/>
          <w:szCs w:val="24"/>
        </w:rPr>
        <w:t>Diversity and constructive conflict in stakeholder dialogue: considerations for design and methods.</w:t>
      </w:r>
      <w:r w:rsidR="00C7150E">
        <w:rPr>
          <w:sz w:val="24"/>
          <w:szCs w:val="24"/>
        </w:rPr>
        <w:t>’</w:t>
      </w:r>
      <w:r w:rsidRPr="00D7466B">
        <w:rPr>
          <w:sz w:val="24"/>
          <w:szCs w:val="24"/>
        </w:rPr>
        <w:t xml:space="preserve"> Available at: https://search.proquest.com/socscijournals/docview/922808868/DCAA06B36C98461CPQ/19?accountid=12753 [Accessed February 27, 2018].</w:t>
      </w:r>
    </w:p>
    <w:p w:rsidR="00CB511B" w:rsidRPr="00CB511B" w:rsidRDefault="00C7150E" w:rsidP="00CB511B">
      <w:pPr>
        <w:rPr>
          <w:sz w:val="24"/>
          <w:szCs w:val="24"/>
        </w:rPr>
      </w:pPr>
      <w:r>
        <w:rPr>
          <w:sz w:val="24"/>
          <w:szCs w:val="24"/>
        </w:rPr>
        <w:t>Dean, R.J (forthcoming 2018)</w:t>
      </w:r>
      <w:r w:rsidR="00CB511B" w:rsidRPr="00CB511B">
        <w:rPr>
          <w:sz w:val="24"/>
          <w:szCs w:val="24"/>
        </w:rPr>
        <w:t xml:space="preserve"> 'Democratic Innovation in Social Policy', in S. Elstub &amp; O. Escobar (eds.), </w:t>
      </w:r>
      <w:r w:rsidR="00CB511B" w:rsidRPr="00CB511B">
        <w:rPr>
          <w:i/>
          <w:iCs/>
          <w:sz w:val="24"/>
          <w:szCs w:val="24"/>
        </w:rPr>
        <w:t>Handbook of Democratic Innovations and Governance</w:t>
      </w:r>
      <w:r w:rsidR="00CB511B" w:rsidRPr="00CB511B">
        <w:rPr>
          <w:sz w:val="24"/>
          <w:szCs w:val="24"/>
        </w:rPr>
        <w:t>, Edward Elgar.</w:t>
      </w:r>
    </w:p>
    <w:p w:rsidR="00022619" w:rsidRDefault="0092693A" w:rsidP="0092693A">
      <w:pPr>
        <w:jc w:val="both"/>
        <w:rPr>
          <w:sz w:val="24"/>
          <w:szCs w:val="24"/>
        </w:rPr>
      </w:pPr>
      <w:r w:rsidRPr="0092693A">
        <w:rPr>
          <w:sz w:val="24"/>
          <w:szCs w:val="24"/>
        </w:rPr>
        <w:lastRenderedPageBreak/>
        <w:fldChar w:fldCharType="begin" w:fldLock="1"/>
      </w:r>
      <w:r w:rsidRPr="0092693A">
        <w:rPr>
          <w:sz w:val="24"/>
          <w:szCs w:val="24"/>
        </w:rPr>
        <w:instrText xml:space="preserve">ADDIN Mendeley Bibliography CSL_BIBLIOGRAPHY </w:instrText>
      </w:r>
      <w:r w:rsidRPr="0092693A">
        <w:rPr>
          <w:sz w:val="24"/>
          <w:szCs w:val="24"/>
        </w:rPr>
        <w:fldChar w:fldCharType="separate"/>
      </w:r>
      <w:r w:rsidRPr="0092693A">
        <w:rPr>
          <w:sz w:val="24"/>
          <w:szCs w:val="24"/>
        </w:rPr>
        <w:t xml:space="preserve">Dryzek, J.S. &amp; Tucker, A. </w:t>
      </w:r>
      <w:r>
        <w:rPr>
          <w:sz w:val="24"/>
          <w:szCs w:val="24"/>
        </w:rPr>
        <w:t>(</w:t>
      </w:r>
      <w:r w:rsidRPr="0092693A">
        <w:rPr>
          <w:sz w:val="24"/>
          <w:szCs w:val="24"/>
        </w:rPr>
        <w:t>2008</w:t>
      </w:r>
      <w:r>
        <w:rPr>
          <w:sz w:val="24"/>
          <w:szCs w:val="24"/>
        </w:rPr>
        <w:t>)</w:t>
      </w:r>
      <w:r w:rsidRPr="0092693A">
        <w:rPr>
          <w:sz w:val="24"/>
          <w:szCs w:val="24"/>
        </w:rPr>
        <w:t xml:space="preserve"> </w:t>
      </w:r>
      <w:r w:rsidR="00C7150E">
        <w:rPr>
          <w:sz w:val="24"/>
          <w:szCs w:val="24"/>
        </w:rPr>
        <w:t>'</w:t>
      </w:r>
      <w:r w:rsidRPr="0092693A">
        <w:rPr>
          <w:sz w:val="24"/>
          <w:szCs w:val="24"/>
        </w:rPr>
        <w:t>Deliberative Innovation to Different Effect: Consensus Conferences in Denmark, France, and the United States.</w:t>
      </w:r>
      <w:r w:rsidR="00C7150E">
        <w:rPr>
          <w:sz w:val="24"/>
          <w:szCs w:val="24"/>
        </w:rPr>
        <w:t>'</w:t>
      </w:r>
      <w:r w:rsidRPr="0092693A">
        <w:rPr>
          <w:sz w:val="24"/>
          <w:szCs w:val="24"/>
        </w:rPr>
        <w:t xml:space="preserve"> </w:t>
      </w:r>
      <w:r w:rsidRPr="0092693A">
        <w:rPr>
          <w:i/>
          <w:iCs/>
          <w:sz w:val="24"/>
          <w:szCs w:val="24"/>
        </w:rPr>
        <w:t>Public Administration Review</w:t>
      </w:r>
      <w:r>
        <w:rPr>
          <w:sz w:val="24"/>
          <w:szCs w:val="24"/>
        </w:rPr>
        <w:t xml:space="preserve">, 68(5): </w:t>
      </w:r>
      <w:r w:rsidRPr="0092693A">
        <w:rPr>
          <w:sz w:val="24"/>
          <w:szCs w:val="24"/>
        </w:rPr>
        <w:t>864–876.</w:t>
      </w:r>
    </w:p>
    <w:p w:rsidR="0092693A" w:rsidRDefault="00022619" w:rsidP="0092693A">
      <w:pPr>
        <w:jc w:val="both"/>
        <w:rPr>
          <w:sz w:val="24"/>
          <w:szCs w:val="24"/>
        </w:rPr>
      </w:pPr>
      <w:r w:rsidRPr="00022619">
        <w:rPr>
          <w:sz w:val="24"/>
          <w:szCs w:val="24"/>
        </w:rPr>
        <w:t xml:space="preserve">Dryzek, J.S. (2010) </w:t>
      </w:r>
      <w:r w:rsidRPr="00022619">
        <w:rPr>
          <w:i/>
          <w:sz w:val="24"/>
          <w:szCs w:val="24"/>
        </w:rPr>
        <w:t>Foundations and Frontiers of Deliberative Governance</w:t>
      </w:r>
      <w:r>
        <w:rPr>
          <w:i/>
          <w:sz w:val="24"/>
          <w:szCs w:val="24"/>
        </w:rPr>
        <w:t>,</w:t>
      </w:r>
      <w:r w:rsidRPr="00022619">
        <w:rPr>
          <w:sz w:val="24"/>
          <w:szCs w:val="24"/>
        </w:rPr>
        <w:t xml:space="preserve"> Oxford: Oxford University Press.</w:t>
      </w:r>
      <w:r w:rsidR="0092693A" w:rsidRPr="0092693A">
        <w:rPr>
          <w:sz w:val="24"/>
          <w:szCs w:val="24"/>
        </w:rPr>
        <w:t xml:space="preserve"> </w:t>
      </w:r>
    </w:p>
    <w:p w:rsidR="00421349" w:rsidRDefault="00421349" w:rsidP="00421349">
      <w:pPr>
        <w:jc w:val="both"/>
        <w:rPr>
          <w:sz w:val="24"/>
          <w:szCs w:val="24"/>
        </w:rPr>
      </w:pPr>
      <w:r w:rsidRPr="00421349">
        <w:rPr>
          <w:sz w:val="24"/>
          <w:szCs w:val="24"/>
        </w:rPr>
        <w:t xml:space="preserve">Dueckers, G., Guellac, N., Arbogast, M., Dannecker, G., Foeldvari, I., Frosch, M., Gasner, G., Heilienhaus, A., Horneff, G., Illhardt, A., Kopp, I., Krauspe, R., Markus, B., Michels, H., Schneider, M., Schneider, M., Singendonk, W., Sitter, H, Spamer, M., Wagner, N. &amp; Niehues, T., (2012)  </w:t>
      </w:r>
      <w:r>
        <w:rPr>
          <w:sz w:val="24"/>
          <w:szCs w:val="24"/>
        </w:rPr>
        <w:t>'</w:t>
      </w:r>
      <w:r w:rsidRPr="00421349">
        <w:rPr>
          <w:sz w:val="24"/>
          <w:szCs w:val="24"/>
        </w:rPr>
        <w:t>Evidence and consensus based GKJR guidelines for the treatment of</w:t>
      </w:r>
      <w:r>
        <w:rPr>
          <w:sz w:val="24"/>
          <w:szCs w:val="24"/>
        </w:rPr>
        <w:t xml:space="preserve"> juvenile idiopathic arthritis', </w:t>
      </w:r>
      <w:r w:rsidRPr="00421349">
        <w:rPr>
          <w:i/>
          <w:sz w:val="24"/>
          <w:szCs w:val="24"/>
        </w:rPr>
        <w:t>Clinical Immunology</w:t>
      </w:r>
      <w:r>
        <w:rPr>
          <w:sz w:val="24"/>
          <w:szCs w:val="24"/>
        </w:rPr>
        <w:t>, 142(</w:t>
      </w:r>
      <w:r w:rsidRPr="00421349">
        <w:rPr>
          <w:sz w:val="24"/>
          <w:szCs w:val="24"/>
        </w:rPr>
        <w:t>2</w:t>
      </w:r>
      <w:r>
        <w:rPr>
          <w:sz w:val="24"/>
          <w:szCs w:val="24"/>
        </w:rPr>
        <w:t>):</w:t>
      </w:r>
      <w:r w:rsidRPr="00421349">
        <w:rPr>
          <w:sz w:val="24"/>
          <w:szCs w:val="24"/>
        </w:rPr>
        <w:t xml:space="preserve"> 176-193.</w:t>
      </w:r>
    </w:p>
    <w:p w:rsidR="00B63FCB" w:rsidRDefault="00B63FCB" w:rsidP="00B63FCB">
      <w:pPr>
        <w:jc w:val="both"/>
        <w:rPr>
          <w:bCs/>
          <w:sz w:val="24"/>
          <w:szCs w:val="24"/>
          <w:lang w:val="en-US"/>
        </w:rPr>
      </w:pPr>
      <w:r>
        <w:rPr>
          <w:bCs/>
          <w:sz w:val="24"/>
          <w:szCs w:val="24"/>
          <w:lang w:val="en-US"/>
        </w:rPr>
        <w:t>Elstub, S. (2014</w:t>
      </w:r>
      <w:r w:rsidRPr="00B63FCB">
        <w:rPr>
          <w:bCs/>
          <w:sz w:val="24"/>
          <w:szCs w:val="24"/>
          <w:lang w:val="en-US"/>
        </w:rPr>
        <w:t xml:space="preserve">) Mini-publics: Issues and cases', in S. Elstub &amp; P. McLaverty (eds.), </w:t>
      </w:r>
      <w:r w:rsidRPr="00B63FCB">
        <w:rPr>
          <w:bCs/>
          <w:i/>
          <w:iCs/>
          <w:sz w:val="24"/>
          <w:szCs w:val="24"/>
          <w:lang w:val="en-US"/>
        </w:rPr>
        <w:t>Deliberative democracy: Issues and cases</w:t>
      </w:r>
      <w:r w:rsidRPr="00B63FCB">
        <w:rPr>
          <w:bCs/>
          <w:sz w:val="24"/>
          <w:szCs w:val="24"/>
          <w:lang w:val="en-US"/>
        </w:rPr>
        <w:t>, Edinburgh: Edinburgh University Press.</w:t>
      </w:r>
    </w:p>
    <w:p w:rsidR="00630B31" w:rsidRPr="00630B31" w:rsidRDefault="00630B31" w:rsidP="00630B31">
      <w:pPr>
        <w:jc w:val="both"/>
        <w:rPr>
          <w:bCs/>
          <w:sz w:val="24"/>
          <w:szCs w:val="24"/>
          <w:lang w:val="en-US"/>
        </w:rPr>
      </w:pPr>
      <w:r w:rsidRPr="00630B31">
        <w:rPr>
          <w:bCs/>
          <w:sz w:val="24"/>
          <w:szCs w:val="24"/>
        </w:rPr>
        <w:t>Escobar, O. and Elstub, S. (2017) </w:t>
      </w:r>
      <w:r w:rsidR="00C7150E">
        <w:rPr>
          <w:bCs/>
          <w:sz w:val="24"/>
          <w:szCs w:val="24"/>
        </w:rPr>
        <w:t>'</w:t>
      </w:r>
      <w:hyperlink r:id="rId11" w:tgtFrame="_blank" w:history="1">
        <w:r w:rsidRPr="00630B31">
          <w:rPr>
            <w:rStyle w:val="Hyperlink"/>
            <w:bCs/>
            <w:sz w:val="24"/>
            <w:szCs w:val="24"/>
          </w:rPr>
          <w:t>Deliberative innovations: </w:t>
        </w:r>
      </w:hyperlink>
      <w:r w:rsidRPr="00630B31">
        <w:rPr>
          <w:bCs/>
          <w:sz w:val="24"/>
          <w:szCs w:val="24"/>
        </w:rPr>
        <w:t>Using ‘mini-publics’ to improve participation and deliberation at the Scottish Parliament</w:t>
      </w:r>
      <w:r w:rsidR="00C7150E">
        <w:rPr>
          <w:bCs/>
          <w:sz w:val="24"/>
          <w:szCs w:val="24"/>
        </w:rPr>
        <w:t>'</w:t>
      </w:r>
      <w:r w:rsidRPr="00630B31">
        <w:rPr>
          <w:bCs/>
          <w:sz w:val="24"/>
          <w:szCs w:val="24"/>
        </w:rPr>
        <w:t>, prepared for the Scottish Parliament </w:t>
      </w:r>
      <w:hyperlink r:id="rId12" w:tgtFrame="_blank" w:history="1">
        <w:r w:rsidRPr="00630B31">
          <w:rPr>
            <w:rStyle w:val="Hyperlink"/>
            <w:bCs/>
            <w:sz w:val="24"/>
            <w:szCs w:val="24"/>
          </w:rPr>
          <w:t>Commission on Parliamentary Reform</w:t>
        </w:r>
      </w:hyperlink>
      <w:r w:rsidRPr="00630B31">
        <w:rPr>
          <w:bCs/>
          <w:sz w:val="24"/>
          <w:szCs w:val="24"/>
        </w:rPr>
        <w:t>.</w:t>
      </w:r>
    </w:p>
    <w:p w:rsidR="00421349" w:rsidRDefault="00421349" w:rsidP="00421349">
      <w:pPr>
        <w:jc w:val="both"/>
        <w:rPr>
          <w:sz w:val="24"/>
          <w:szCs w:val="24"/>
        </w:rPr>
      </w:pPr>
      <w:bookmarkStart w:id="6" w:name="_Hlk517856175"/>
      <w:r w:rsidRPr="00421349">
        <w:rPr>
          <w:sz w:val="24"/>
          <w:szCs w:val="24"/>
        </w:rPr>
        <w:t xml:space="preserve">European Commission (2014) </w:t>
      </w:r>
      <w:r w:rsidR="00C7150E">
        <w:rPr>
          <w:sz w:val="24"/>
          <w:szCs w:val="24"/>
        </w:rPr>
        <w:t>'</w:t>
      </w:r>
      <w:r w:rsidRPr="00421349">
        <w:rPr>
          <w:sz w:val="24"/>
          <w:szCs w:val="24"/>
        </w:rPr>
        <w:t>Final Report Summary - GAMBA (Gene Activated Matrices for Bone and Carti</w:t>
      </w:r>
      <w:r w:rsidR="00C7150E">
        <w:rPr>
          <w:sz w:val="24"/>
          <w:szCs w:val="24"/>
        </w:rPr>
        <w:t>lage Regeneration in Arthritis)',</w:t>
      </w:r>
      <w:r w:rsidRPr="00421349">
        <w:rPr>
          <w:sz w:val="24"/>
          <w:szCs w:val="24"/>
        </w:rPr>
        <w:t xml:space="preserve"> </w:t>
      </w:r>
      <w:r w:rsidRPr="00421349">
        <w:rPr>
          <w:i/>
          <w:sz w:val="24"/>
          <w:szCs w:val="24"/>
        </w:rPr>
        <w:t>Community and Development Information Service,</w:t>
      </w:r>
      <w:r w:rsidRPr="00421349">
        <w:rPr>
          <w:sz w:val="24"/>
          <w:szCs w:val="24"/>
        </w:rPr>
        <w:t xml:space="preserve"> European Commission. Available online: https://cordis.europa.eu/result/rcn/141283_en.html.</w:t>
      </w:r>
    </w:p>
    <w:bookmarkEnd w:id="6"/>
    <w:p w:rsidR="00FE37C0" w:rsidRPr="00FE37C0" w:rsidRDefault="00FE37C0" w:rsidP="00FE37C0">
      <w:pPr>
        <w:jc w:val="both"/>
        <w:rPr>
          <w:sz w:val="24"/>
          <w:szCs w:val="24"/>
        </w:rPr>
      </w:pPr>
      <w:r w:rsidRPr="00FE37C0">
        <w:rPr>
          <w:sz w:val="24"/>
          <w:szCs w:val="24"/>
        </w:rPr>
        <w:t xml:space="preserve">Fishkin, J. S. and Luskin, R. C. (2005) ‘Experimenting with a Democratic Ideal: Deliberative Polling and Public Opinion’, </w:t>
      </w:r>
      <w:r w:rsidRPr="00FE37C0">
        <w:rPr>
          <w:i/>
          <w:sz w:val="24"/>
          <w:szCs w:val="24"/>
        </w:rPr>
        <w:t>Acta Politica</w:t>
      </w:r>
      <w:r w:rsidRPr="00FE37C0">
        <w:rPr>
          <w:sz w:val="24"/>
          <w:szCs w:val="24"/>
        </w:rPr>
        <w:t>, 40</w:t>
      </w:r>
      <w:r>
        <w:rPr>
          <w:sz w:val="24"/>
          <w:szCs w:val="24"/>
        </w:rPr>
        <w:t xml:space="preserve"> (3):</w:t>
      </w:r>
      <w:r w:rsidRPr="00FE37C0">
        <w:rPr>
          <w:sz w:val="24"/>
          <w:szCs w:val="24"/>
        </w:rPr>
        <w:t xml:space="preserve"> 284-298.</w:t>
      </w:r>
    </w:p>
    <w:p w:rsidR="00421349" w:rsidRDefault="00421349" w:rsidP="00421349">
      <w:pPr>
        <w:jc w:val="both"/>
        <w:rPr>
          <w:sz w:val="24"/>
          <w:szCs w:val="24"/>
        </w:rPr>
      </w:pPr>
      <w:r>
        <w:rPr>
          <w:sz w:val="24"/>
          <w:szCs w:val="24"/>
        </w:rPr>
        <w:t>Fishkin, J.</w:t>
      </w:r>
      <w:r w:rsidRPr="00421349">
        <w:rPr>
          <w:sz w:val="24"/>
          <w:szCs w:val="24"/>
        </w:rPr>
        <w:t>S., and Luskin</w:t>
      </w:r>
      <w:r>
        <w:rPr>
          <w:sz w:val="24"/>
          <w:szCs w:val="24"/>
        </w:rPr>
        <w:t>, R</w:t>
      </w:r>
      <w:r w:rsidRPr="00421349">
        <w:rPr>
          <w:sz w:val="24"/>
          <w:szCs w:val="24"/>
        </w:rPr>
        <w:t>.</w:t>
      </w:r>
      <w:r>
        <w:rPr>
          <w:sz w:val="24"/>
          <w:szCs w:val="24"/>
        </w:rPr>
        <w:t>C. (2006)</w:t>
      </w:r>
      <w:r w:rsidRPr="00421349">
        <w:rPr>
          <w:sz w:val="24"/>
          <w:szCs w:val="24"/>
        </w:rPr>
        <w:t xml:space="preserve"> </w:t>
      </w:r>
      <w:r w:rsidR="00C7150E">
        <w:rPr>
          <w:sz w:val="24"/>
          <w:szCs w:val="24"/>
        </w:rPr>
        <w:t>'</w:t>
      </w:r>
      <w:r w:rsidRPr="00421349">
        <w:rPr>
          <w:sz w:val="24"/>
          <w:szCs w:val="24"/>
        </w:rPr>
        <w:t>Broadcasts of Deliberative Polls: Aspirations and Effects</w:t>
      </w:r>
      <w:r w:rsidR="00C7150E">
        <w:rPr>
          <w:sz w:val="24"/>
          <w:szCs w:val="24"/>
        </w:rPr>
        <w:t>',</w:t>
      </w:r>
      <w:r w:rsidRPr="00421349">
        <w:rPr>
          <w:sz w:val="24"/>
          <w:szCs w:val="24"/>
        </w:rPr>
        <w:t xml:space="preserve"> </w:t>
      </w:r>
      <w:r w:rsidRPr="00421349">
        <w:rPr>
          <w:i/>
          <w:sz w:val="24"/>
          <w:szCs w:val="24"/>
        </w:rPr>
        <w:t>British Journal of Political Science</w:t>
      </w:r>
      <w:r>
        <w:rPr>
          <w:sz w:val="24"/>
          <w:szCs w:val="24"/>
        </w:rPr>
        <w:t>, 36(</w:t>
      </w:r>
      <w:r w:rsidRPr="00421349">
        <w:rPr>
          <w:sz w:val="24"/>
          <w:szCs w:val="24"/>
        </w:rPr>
        <w:t>1</w:t>
      </w:r>
      <w:r>
        <w:rPr>
          <w:sz w:val="24"/>
          <w:szCs w:val="24"/>
        </w:rPr>
        <w:t xml:space="preserve">): </w:t>
      </w:r>
      <w:r w:rsidRPr="00421349">
        <w:rPr>
          <w:sz w:val="24"/>
          <w:szCs w:val="24"/>
        </w:rPr>
        <w:t>184–188.</w:t>
      </w:r>
    </w:p>
    <w:p w:rsidR="002A397D" w:rsidRPr="002A397D" w:rsidRDefault="002A397D" w:rsidP="002A397D">
      <w:pPr>
        <w:jc w:val="both"/>
        <w:rPr>
          <w:sz w:val="24"/>
          <w:szCs w:val="24"/>
        </w:rPr>
      </w:pPr>
      <w:r w:rsidRPr="002A397D">
        <w:rPr>
          <w:sz w:val="24"/>
          <w:szCs w:val="24"/>
        </w:rPr>
        <w:t>F</w:t>
      </w:r>
      <w:bookmarkStart w:id="7" w:name="_Hlk517856004"/>
      <w:r w:rsidRPr="002A397D">
        <w:rPr>
          <w:sz w:val="24"/>
          <w:szCs w:val="24"/>
        </w:rPr>
        <w:t xml:space="preserve">letcher, S. (2017) </w:t>
      </w:r>
      <w:r w:rsidR="00C7150E">
        <w:rPr>
          <w:sz w:val="24"/>
          <w:szCs w:val="24"/>
        </w:rPr>
        <w:t>'</w:t>
      </w:r>
      <w:r w:rsidRPr="002A397D">
        <w:rPr>
          <w:sz w:val="24"/>
          <w:szCs w:val="24"/>
        </w:rPr>
        <w:t>G</w:t>
      </w:r>
      <w:r w:rsidR="00C7150E">
        <w:rPr>
          <w:sz w:val="24"/>
          <w:szCs w:val="24"/>
        </w:rPr>
        <w:t>AMBA Patient and Citizen Panels',</w:t>
      </w:r>
      <w:r w:rsidRPr="002A397D">
        <w:rPr>
          <w:sz w:val="24"/>
          <w:szCs w:val="24"/>
        </w:rPr>
        <w:t xml:space="preserve"> </w:t>
      </w:r>
      <w:r w:rsidRPr="002A397D">
        <w:rPr>
          <w:i/>
          <w:sz w:val="24"/>
          <w:szCs w:val="24"/>
        </w:rPr>
        <w:t>Participedia.</w:t>
      </w:r>
      <w:r w:rsidRPr="002A397D">
        <w:rPr>
          <w:sz w:val="24"/>
          <w:szCs w:val="24"/>
        </w:rPr>
        <w:t xml:space="preserve"> Available online: https://participedia.net/en/cases/gamba-patient-and-citizen-panels.</w:t>
      </w:r>
    </w:p>
    <w:bookmarkEnd w:id="7"/>
    <w:p w:rsidR="002A397D" w:rsidRDefault="002A397D" w:rsidP="002A397D">
      <w:pPr>
        <w:jc w:val="both"/>
        <w:rPr>
          <w:sz w:val="24"/>
          <w:szCs w:val="24"/>
        </w:rPr>
      </w:pPr>
      <w:r w:rsidRPr="002A397D">
        <w:rPr>
          <w:sz w:val="24"/>
          <w:szCs w:val="24"/>
        </w:rPr>
        <w:t>Fletcher, S. (2017)</w:t>
      </w:r>
      <w:r w:rsidR="00C7150E">
        <w:rPr>
          <w:sz w:val="24"/>
          <w:szCs w:val="24"/>
        </w:rPr>
        <w:t xml:space="preserve"> 'NHS Citizen',</w:t>
      </w:r>
      <w:r w:rsidRPr="002A397D">
        <w:rPr>
          <w:i/>
          <w:sz w:val="24"/>
          <w:szCs w:val="24"/>
        </w:rPr>
        <w:t xml:space="preserve"> Participedia</w:t>
      </w:r>
      <w:r w:rsidRPr="002A397D">
        <w:rPr>
          <w:sz w:val="24"/>
          <w:szCs w:val="24"/>
        </w:rPr>
        <w:t>. Available online.</w:t>
      </w:r>
    </w:p>
    <w:p w:rsidR="00965E1D" w:rsidRPr="00965E1D" w:rsidRDefault="00965E1D" w:rsidP="00965E1D">
      <w:pPr>
        <w:jc w:val="both"/>
        <w:rPr>
          <w:i/>
          <w:iCs/>
          <w:sz w:val="24"/>
          <w:szCs w:val="24"/>
        </w:rPr>
      </w:pPr>
      <w:r w:rsidRPr="00965E1D">
        <w:rPr>
          <w:sz w:val="24"/>
          <w:szCs w:val="24"/>
        </w:rPr>
        <w:t>G</w:t>
      </w:r>
      <w:r w:rsidR="00175860">
        <w:rPr>
          <w:sz w:val="24"/>
          <w:szCs w:val="24"/>
        </w:rPr>
        <w:t>astil</w:t>
      </w:r>
      <w:r w:rsidRPr="00965E1D">
        <w:rPr>
          <w:sz w:val="24"/>
          <w:szCs w:val="24"/>
        </w:rPr>
        <w:t>, J., K</w:t>
      </w:r>
      <w:r w:rsidR="00175860">
        <w:rPr>
          <w:sz w:val="24"/>
          <w:szCs w:val="24"/>
        </w:rPr>
        <w:t>nobloch</w:t>
      </w:r>
      <w:r w:rsidRPr="00965E1D">
        <w:rPr>
          <w:sz w:val="24"/>
          <w:szCs w:val="24"/>
        </w:rPr>
        <w:t>, K. R. &amp; R</w:t>
      </w:r>
      <w:r w:rsidR="00175860">
        <w:rPr>
          <w:sz w:val="24"/>
          <w:szCs w:val="24"/>
        </w:rPr>
        <w:t>ichards</w:t>
      </w:r>
      <w:r w:rsidRPr="00965E1D">
        <w:rPr>
          <w:sz w:val="24"/>
          <w:szCs w:val="24"/>
        </w:rPr>
        <w:t xml:space="preserve">, R. </w:t>
      </w:r>
      <w:r w:rsidR="00175860">
        <w:rPr>
          <w:sz w:val="24"/>
          <w:szCs w:val="24"/>
        </w:rPr>
        <w:t>(2015)</w:t>
      </w:r>
      <w:r w:rsidRPr="00965E1D">
        <w:rPr>
          <w:sz w:val="24"/>
          <w:szCs w:val="24"/>
        </w:rPr>
        <w:t xml:space="preserve"> </w:t>
      </w:r>
      <w:r w:rsidR="00FF33CB">
        <w:rPr>
          <w:sz w:val="24"/>
          <w:szCs w:val="24"/>
        </w:rPr>
        <w:t>'</w:t>
      </w:r>
      <w:r w:rsidRPr="00965E1D">
        <w:rPr>
          <w:i/>
          <w:iCs/>
          <w:sz w:val="24"/>
          <w:szCs w:val="24"/>
        </w:rPr>
        <w:t>Building a More Informed Electorate:</w:t>
      </w:r>
    </w:p>
    <w:p w:rsidR="00965E1D" w:rsidRPr="00965E1D" w:rsidRDefault="00FF33CB" w:rsidP="00965E1D">
      <w:pPr>
        <w:jc w:val="both"/>
        <w:rPr>
          <w:sz w:val="24"/>
          <w:szCs w:val="24"/>
        </w:rPr>
      </w:pPr>
      <w:r>
        <w:rPr>
          <w:i/>
          <w:iCs/>
          <w:sz w:val="24"/>
          <w:szCs w:val="24"/>
        </w:rPr>
        <w:t>Analysis of the Citizens'</w:t>
      </w:r>
      <w:r w:rsidR="00965E1D" w:rsidRPr="00965E1D">
        <w:rPr>
          <w:i/>
          <w:iCs/>
          <w:sz w:val="24"/>
          <w:szCs w:val="24"/>
        </w:rPr>
        <w:t xml:space="preserve"> Initiat</w:t>
      </w:r>
      <w:r>
        <w:rPr>
          <w:i/>
          <w:iCs/>
          <w:sz w:val="24"/>
          <w:szCs w:val="24"/>
        </w:rPr>
        <w:t>ive Review, 2010-2014'</w:t>
      </w:r>
      <w:r w:rsidR="00965E1D" w:rsidRPr="00965E1D">
        <w:rPr>
          <w:sz w:val="24"/>
          <w:szCs w:val="24"/>
        </w:rPr>
        <w:t>, in. State College, Pennsylvania</w:t>
      </w:r>
    </w:p>
    <w:p w:rsidR="00965E1D" w:rsidRDefault="00965E1D" w:rsidP="00965E1D">
      <w:pPr>
        <w:jc w:val="both"/>
        <w:rPr>
          <w:sz w:val="24"/>
          <w:szCs w:val="24"/>
        </w:rPr>
      </w:pPr>
      <w:r w:rsidRPr="00965E1D">
        <w:rPr>
          <w:sz w:val="24"/>
          <w:szCs w:val="24"/>
        </w:rPr>
        <w:t>State University.</w:t>
      </w:r>
    </w:p>
    <w:p w:rsidR="00B63FCB" w:rsidRPr="00B63FCB" w:rsidRDefault="00B63FCB" w:rsidP="00B63FCB">
      <w:pPr>
        <w:jc w:val="both"/>
        <w:rPr>
          <w:sz w:val="24"/>
          <w:szCs w:val="24"/>
          <w:lang w:val="en-US"/>
        </w:rPr>
      </w:pPr>
      <w:r w:rsidRPr="00B63FCB">
        <w:rPr>
          <w:sz w:val="24"/>
          <w:szCs w:val="24"/>
          <w:lang w:val="en-US"/>
        </w:rPr>
        <w:t xml:space="preserve">Grönlund, K., A. Bächtiger, &amp; M. Setälä (eds.) (2014) </w:t>
      </w:r>
      <w:r w:rsidRPr="00B63FCB">
        <w:rPr>
          <w:i/>
          <w:iCs/>
          <w:sz w:val="24"/>
          <w:szCs w:val="24"/>
          <w:lang w:val="en-US"/>
        </w:rPr>
        <w:t>Deliberative mini-publics: Involving citizens in the democratic process</w:t>
      </w:r>
      <w:r w:rsidRPr="00B63FCB">
        <w:rPr>
          <w:sz w:val="24"/>
          <w:szCs w:val="24"/>
          <w:lang w:val="en-US"/>
        </w:rPr>
        <w:t>, Colchester, UK: ECPR Press.</w:t>
      </w:r>
    </w:p>
    <w:p w:rsidR="002A397D" w:rsidRDefault="002A397D" w:rsidP="002A397D">
      <w:pPr>
        <w:jc w:val="both"/>
        <w:rPr>
          <w:sz w:val="24"/>
          <w:szCs w:val="24"/>
        </w:rPr>
      </w:pPr>
      <w:r w:rsidRPr="002A397D">
        <w:rPr>
          <w:sz w:val="24"/>
          <w:szCs w:val="24"/>
        </w:rPr>
        <w:t xml:space="preserve">Hargreave, L. (2018) </w:t>
      </w:r>
      <w:r w:rsidR="00FF33CB">
        <w:rPr>
          <w:sz w:val="24"/>
          <w:szCs w:val="24"/>
        </w:rPr>
        <w:t>'</w:t>
      </w:r>
      <w:r w:rsidRPr="002A397D">
        <w:rPr>
          <w:sz w:val="24"/>
          <w:szCs w:val="24"/>
        </w:rPr>
        <w:t>Citi</w:t>
      </w:r>
      <w:r w:rsidR="00FF33CB">
        <w:rPr>
          <w:sz w:val="24"/>
          <w:szCs w:val="24"/>
        </w:rPr>
        <w:t>zens' Assembly on Brexit',</w:t>
      </w:r>
      <w:r w:rsidRPr="002A397D">
        <w:rPr>
          <w:sz w:val="24"/>
          <w:szCs w:val="24"/>
        </w:rPr>
        <w:t xml:space="preserve"> </w:t>
      </w:r>
      <w:r w:rsidRPr="002A397D">
        <w:rPr>
          <w:i/>
          <w:sz w:val="24"/>
          <w:szCs w:val="24"/>
        </w:rPr>
        <w:t>Participedia</w:t>
      </w:r>
      <w:r w:rsidRPr="002A397D">
        <w:rPr>
          <w:sz w:val="24"/>
          <w:szCs w:val="24"/>
        </w:rPr>
        <w:t>. Available online: https://participedia.net/en/cases/citizens-assembly-brexit.</w:t>
      </w:r>
    </w:p>
    <w:p w:rsidR="00175860" w:rsidRPr="00175860" w:rsidRDefault="00175860" w:rsidP="00175860">
      <w:pPr>
        <w:jc w:val="both"/>
        <w:rPr>
          <w:sz w:val="24"/>
          <w:szCs w:val="24"/>
        </w:rPr>
      </w:pPr>
      <w:r w:rsidRPr="00175860">
        <w:rPr>
          <w:sz w:val="24"/>
          <w:szCs w:val="24"/>
          <w:lang w:val="en-US"/>
        </w:rPr>
        <w:t xml:space="preserve">Harris, C. (forthcoming 2018) ‘Mini-Publics’, </w:t>
      </w:r>
      <w:r w:rsidRPr="00175860">
        <w:rPr>
          <w:sz w:val="24"/>
          <w:szCs w:val="24"/>
        </w:rPr>
        <w:t>in S. Elstub &amp; O. Escobar (eds.), </w:t>
      </w:r>
      <w:r w:rsidRPr="00175860">
        <w:rPr>
          <w:i/>
          <w:iCs/>
          <w:sz w:val="24"/>
          <w:szCs w:val="24"/>
        </w:rPr>
        <w:t>Handbook of Democratic Innovations and Governance</w:t>
      </w:r>
      <w:r w:rsidRPr="00175860">
        <w:rPr>
          <w:sz w:val="24"/>
          <w:szCs w:val="24"/>
        </w:rPr>
        <w:t>, Edward Elgar.</w:t>
      </w:r>
    </w:p>
    <w:p w:rsidR="002A397D" w:rsidRPr="002A397D" w:rsidRDefault="002A397D" w:rsidP="002A397D">
      <w:pPr>
        <w:jc w:val="both"/>
        <w:rPr>
          <w:sz w:val="24"/>
          <w:szCs w:val="24"/>
        </w:rPr>
      </w:pPr>
      <w:r w:rsidRPr="002A397D">
        <w:rPr>
          <w:sz w:val="24"/>
          <w:szCs w:val="24"/>
        </w:rPr>
        <w:t>Härter, M., Klesse, C., Bermejo, I., Sch</w:t>
      </w:r>
      <w:r w:rsidR="00FF33CB">
        <w:rPr>
          <w:sz w:val="24"/>
          <w:szCs w:val="24"/>
        </w:rPr>
        <w:t>neider, F., &amp; Berger, M. (2010)</w:t>
      </w:r>
      <w:r w:rsidRPr="002A397D">
        <w:rPr>
          <w:sz w:val="24"/>
          <w:szCs w:val="24"/>
        </w:rPr>
        <w:t xml:space="preserve"> </w:t>
      </w:r>
      <w:r>
        <w:rPr>
          <w:sz w:val="24"/>
          <w:szCs w:val="24"/>
        </w:rPr>
        <w:t>'</w:t>
      </w:r>
      <w:r w:rsidRPr="002A397D">
        <w:rPr>
          <w:sz w:val="24"/>
          <w:szCs w:val="24"/>
        </w:rPr>
        <w:t>Unipolar depression: Diagnostic and therapeutic recommendations from the current S3/National Clinical Practice Guideline</w:t>
      </w:r>
      <w:r>
        <w:rPr>
          <w:sz w:val="24"/>
          <w:szCs w:val="24"/>
        </w:rPr>
        <w:t>'</w:t>
      </w:r>
      <w:r w:rsidR="00FF33CB">
        <w:rPr>
          <w:sz w:val="24"/>
          <w:szCs w:val="24"/>
        </w:rPr>
        <w:t>,</w:t>
      </w:r>
      <w:r w:rsidRPr="002A397D">
        <w:rPr>
          <w:sz w:val="24"/>
          <w:szCs w:val="24"/>
        </w:rPr>
        <w:t xml:space="preserve"> </w:t>
      </w:r>
      <w:r w:rsidRPr="002A397D">
        <w:rPr>
          <w:i/>
          <w:sz w:val="24"/>
          <w:szCs w:val="24"/>
        </w:rPr>
        <w:t>Deutsches Ärzteblatt International</w:t>
      </w:r>
      <w:r>
        <w:rPr>
          <w:sz w:val="24"/>
          <w:szCs w:val="24"/>
        </w:rPr>
        <w:t>, 107(40):</w:t>
      </w:r>
      <w:r w:rsidRPr="002A397D">
        <w:rPr>
          <w:sz w:val="24"/>
          <w:szCs w:val="24"/>
        </w:rPr>
        <w:t xml:space="preserve"> 700-708.</w:t>
      </w:r>
    </w:p>
    <w:p w:rsidR="00E927B0" w:rsidRDefault="0092693A" w:rsidP="00E927B0">
      <w:pPr>
        <w:jc w:val="both"/>
        <w:rPr>
          <w:sz w:val="24"/>
          <w:szCs w:val="24"/>
        </w:rPr>
      </w:pPr>
      <w:r w:rsidRPr="0092693A">
        <w:rPr>
          <w:sz w:val="24"/>
          <w:szCs w:val="24"/>
        </w:rPr>
        <w:lastRenderedPageBreak/>
        <w:fldChar w:fldCharType="end"/>
      </w:r>
      <w:r w:rsidR="00E927B0" w:rsidRPr="00E927B0">
        <w:rPr>
          <w:sz w:val="24"/>
          <w:szCs w:val="24"/>
        </w:rPr>
        <w:t xml:space="preserve">Henderson, J., House, E., </w:t>
      </w:r>
      <w:proofErr w:type="spellStart"/>
      <w:r w:rsidR="00E927B0" w:rsidRPr="00E927B0">
        <w:rPr>
          <w:sz w:val="24"/>
          <w:szCs w:val="24"/>
        </w:rPr>
        <w:t>Coveney</w:t>
      </w:r>
      <w:proofErr w:type="spellEnd"/>
      <w:r w:rsidR="00E927B0" w:rsidRPr="00E927B0">
        <w:rPr>
          <w:sz w:val="24"/>
          <w:szCs w:val="24"/>
        </w:rPr>
        <w:t xml:space="preserve">, J., Meyer, S., Ankeny, R., Ward, P., &amp; </w:t>
      </w:r>
      <w:proofErr w:type="spellStart"/>
      <w:r w:rsidR="00E927B0" w:rsidRPr="00E927B0">
        <w:rPr>
          <w:sz w:val="24"/>
          <w:szCs w:val="24"/>
        </w:rPr>
        <w:t>Calnan</w:t>
      </w:r>
      <w:proofErr w:type="spellEnd"/>
      <w:r w:rsidR="00E927B0" w:rsidRPr="00E927B0">
        <w:rPr>
          <w:sz w:val="24"/>
          <w:szCs w:val="24"/>
        </w:rPr>
        <w:t xml:space="preserve">, M. (2013) </w:t>
      </w:r>
      <w:r w:rsidR="00FF33CB">
        <w:rPr>
          <w:sz w:val="24"/>
          <w:szCs w:val="24"/>
        </w:rPr>
        <w:t>‘</w:t>
      </w:r>
      <w:r w:rsidR="00E927B0" w:rsidRPr="00E927B0">
        <w:rPr>
          <w:sz w:val="24"/>
          <w:szCs w:val="24"/>
        </w:rPr>
        <w:t>Evaluating the use of citizens’ juries in food policy: a</w:t>
      </w:r>
      <w:r w:rsidR="00FF33CB">
        <w:rPr>
          <w:sz w:val="24"/>
          <w:szCs w:val="24"/>
        </w:rPr>
        <w:t xml:space="preserve"> case study of food regulation’, </w:t>
      </w:r>
      <w:r w:rsidR="00E927B0" w:rsidRPr="00E927B0">
        <w:rPr>
          <w:i/>
          <w:iCs/>
          <w:sz w:val="24"/>
          <w:szCs w:val="24"/>
        </w:rPr>
        <w:t>BMC public health</w:t>
      </w:r>
      <w:r w:rsidR="00E927B0" w:rsidRPr="00E927B0">
        <w:rPr>
          <w:sz w:val="24"/>
          <w:szCs w:val="24"/>
        </w:rPr>
        <w:t>, </w:t>
      </w:r>
      <w:r w:rsidR="00E927B0" w:rsidRPr="00E927B0">
        <w:rPr>
          <w:i/>
          <w:iCs/>
          <w:sz w:val="24"/>
          <w:szCs w:val="24"/>
        </w:rPr>
        <w:t>13</w:t>
      </w:r>
      <w:r w:rsidR="00D7466B">
        <w:rPr>
          <w:sz w:val="24"/>
          <w:szCs w:val="24"/>
        </w:rPr>
        <w:t>(1):</w:t>
      </w:r>
      <w:r w:rsidR="00E927B0" w:rsidRPr="00E927B0">
        <w:rPr>
          <w:sz w:val="24"/>
          <w:szCs w:val="24"/>
        </w:rPr>
        <w:t xml:space="preserve"> 596.</w:t>
      </w:r>
    </w:p>
    <w:p w:rsidR="00D7466B" w:rsidRDefault="00D7466B" w:rsidP="00E927B0">
      <w:pPr>
        <w:jc w:val="both"/>
        <w:rPr>
          <w:sz w:val="24"/>
          <w:szCs w:val="24"/>
        </w:rPr>
      </w:pPr>
      <w:r>
        <w:rPr>
          <w:sz w:val="24"/>
          <w:szCs w:val="24"/>
        </w:rPr>
        <w:t>Hendriks, C.M.</w:t>
      </w:r>
      <w:r w:rsidRPr="00D7466B">
        <w:rPr>
          <w:sz w:val="24"/>
          <w:szCs w:val="24"/>
        </w:rPr>
        <w:t xml:space="preserve"> </w:t>
      </w:r>
      <w:r>
        <w:rPr>
          <w:sz w:val="24"/>
          <w:szCs w:val="24"/>
        </w:rPr>
        <w:t>(</w:t>
      </w:r>
      <w:r w:rsidRPr="00D7466B">
        <w:rPr>
          <w:sz w:val="24"/>
          <w:szCs w:val="24"/>
        </w:rPr>
        <w:t>2009</w:t>
      </w:r>
      <w:r>
        <w:rPr>
          <w:sz w:val="24"/>
          <w:szCs w:val="24"/>
        </w:rPr>
        <w:t>)</w:t>
      </w:r>
      <w:r w:rsidR="00FF33CB">
        <w:rPr>
          <w:sz w:val="24"/>
          <w:szCs w:val="24"/>
        </w:rPr>
        <w:t xml:space="preserve"> ‘</w:t>
      </w:r>
      <w:r w:rsidRPr="00D7466B">
        <w:rPr>
          <w:sz w:val="24"/>
          <w:szCs w:val="24"/>
        </w:rPr>
        <w:t>Policy design without democracy? Making democratic</w:t>
      </w:r>
      <w:r w:rsidR="00FF33CB">
        <w:rPr>
          <w:sz w:val="24"/>
          <w:szCs w:val="24"/>
        </w:rPr>
        <w:t xml:space="preserve"> sense of transition management’,</w:t>
      </w:r>
      <w:r w:rsidRPr="00D7466B">
        <w:rPr>
          <w:sz w:val="24"/>
          <w:szCs w:val="24"/>
        </w:rPr>
        <w:t xml:space="preserve"> </w:t>
      </w:r>
      <w:r w:rsidRPr="00D7466B">
        <w:rPr>
          <w:i/>
          <w:iCs/>
          <w:sz w:val="24"/>
          <w:szCs w:val="24"/>
        </w:rPr>
        <w:t>Policy Sci</w:t>
      </w:r>
      <w:r w:rsidR="00FF33CB">
        <w:rPr>
          <w:i/>
          <w:iCs/>
          <w:sz w:val="24"/>
          <w:szCs w:val="24"/>
        </w:rPr>
        <w:t>ences</w:t>
      </w:r>
      <w:r>
        <w:rPr>
          <w:sz w:val="24"/>
          <w:szCs w:val="24"/>
        </w:rPr>
        <w:t xml:space="preserve">, 42: </w:t>
      </w:r>
      <w:r w:rsidRPr="00D7466B">
        <w:rPr>
          <w:sz w:val="24"/>
          <w:szCs w:val="24"/>
        </w:rPr>
        <w:t>341–368.</w:t>
      </w:r>
    </w:p>
    <w:p w:rsidR="002A397D" w:rsidRPr="002A397D" w:rsidRDefault="002A397D" w:rsidP="002A397D">
      <w:pPr>
        <w:jc w:val="both"/>
        <w:rPr>
          <w:sz w:val="24"/>
          <w:szCs w:val="24"/>
        </w:rPr>
      </w:pPr>
      <w:proofErr w:type="spellStart"/>
      <w:r w:rsidRPr="002A397D">
        <w:rPr>
          <w:sz w:val="24"/>
          <w:szCs w:val="24"/>
        </w:rPr>
        <w:t>Horneff</w:t>
      </w:r>
      <w:proofErr w:type="spellEnd"/>
      <w:r w:rsidRPr="002A397D">
        <w:rPr>
          <w:sz w:val="24"/>
          <w:szCs w:val="24"/>
        </w:rPr>
        <w:t xml:space="preserve">, G., Klein, A., </w:t>
      </w:r>
      <w:proofErr w:type="spellStart"/>
      <w:r w:rsidRPr="002A397D">
        <w:rPr>
          <w:sz w:val="24"/>
          <w:szCs w:val="24"/>
        </w:rPr>
        <w:t>Ganser</w:t>
      </w:r>
      <w:proofErr w:type="spellEnd"/>
      <w:r w:rsidRPr="002A397D">
        <w:rPr>
          <w:sz w:val="24"/>
          <w:szCs w:val="24"/>
        </w:rPr>
        <w:t xml:space="preserve">, M., </w:t>
      </w:r>
      <w:proofErr w:type="spellStart"/>
      <w:r w:rsidRPr="002A397D">
        <w:rPr>
          <w:sz w:val="24"/>
          <w:szCs w:val="24"/>
        </w:rPr>
        <w:t>Sailer</w:t>
      </w:r>
      <w:proofErr w:type="spellEnd"/>
      <w:r w:rsidRPr="002A397D">
        <w:rPr>
          <w:sz w:val="24"/>
          <w:szCs w:val="24"/>
        </w:rPr>
        <w:t xml:space="preserve">-Hock, A., Gunther, I., </w:t>
      </w:r>
      <w:proofErr w:type="spellStart"/>
      <w:r w:rsidRPr="002A397D">
        <w:rPr>
          <w:sz w:val="24"/>
          <w:szCs w:val="24"/>
        </w:rPr>
        <w:t>Foeldvari</w:t>
      </w:r>
      <w:proofErr w:type="spellEnd"/>
      <w:r w:rsidRPr="002A397D">
        <w:rPr>
          <w:sz w:val="24"/>
          <w:szCs w:val="24"/>
        </w:rPr>
        <w:t xml:space="preserve">, F., Guenther, M. (2017) </w:t>
      </w:r>
      <w:r>
        <w:rPr>
          <w:sz w:val="24"/>
          <w:szCs w:val="24"/>
        </w:rPr>
        <w:t>‘</w:t>
      </w:r>
      <w:r w:rsidRPr="002A397D">
        <w:rPr>
          <w:sz w:val="24"/>
          <w:szCs w:val="24"/>
        </w:rPr>
        <w:t xml:space="preserve">Protocols on classification, monitoring and therapy in children's rheumatology (PRO-KIND): Results of the working group </w:t>
      </w:r>
      <w:proofErr w:type="spellStart"/>
      <w:r w:rsidRPr="002A397D">
        <w:rPr>
          <w:sz w:val="24"/>
          <w:szCs w:val="24"/>
        </w:rPr>
        <w:t>Polyarticula</w:t>
      </w:r>
      <w:r w:rsidR="00FF33CB">
        <w:rPr>
          <w:sz w:val="24"/>
          <w:szCs w:val="24"/>
        </w:rPr>
        <w:t>r</w:t>
      </w:r>
      <w:proofErr w:type="spellEnd"/>
      <w:r w:rsidR="00FF33CB">
        <w:rPr>
          <w:sz w:val="24"/>
          <w:szCs w:val="24"/>
        </w:rPr>
        <w:t xml:space="preserve"> juvenile idiopathic arthritis</w:t>
      </w:r>
      <w:r>
        <w:rPr>
          <w:sz w:val="24"/>
          <w:szCs w:val="24"/>
        </w:rPr>
        <w:t>’</w:t>
      </w:r>
      <w:r w:rsidR="00FF33CB">
        <w:rPr>
          <w:sz w:val="24"/>
          <w:szCs w:val="24"/>
        </w:rPr>
        <w:t>,</w:t>
      </w:r>
      <w:r w:rsidRPr="002A397D">
        <w:rPr>
          <w:sz w:val="24"/>
          <w:szCs w:val="24"/>
        </w:rPr>
        <w:t xml:space="preserve"> </w:t>
      </w:r>
      <w:r w:rsidRPr="002A397D">
        <w:rPr>
          <w:i/>
          <w:sz w:val="24"/>
          <w:szCs w:val="24"/>
        </w:rPr>
        <w:t>Paediatric Rheumatology</w:t>
      </w:r>
      <w:r w:rsidRPr="002A397D">
        <w:rPr>
          <w:sz w:val="24"/>
          <w:szCs w:val="24"/>
        </w:rPr>
        <w:t>, 15(1)</w:t>
      </w:r>
      <w:r>
        <w:rPr>
          <w:sz w:val="24"/>
          <w:szCs w:val="24"/>
        </w:rPr>
        <w:t>:</w:t>
      </w:r>
      <w:r w:rsidRPr="002A397D">
        <w:rPr>
          <w:sz w:val="24"/>
          <w:szCs w:val="24"/>
        </w:rPr>
        <w:t xml:space="preserve"> 78.</w:t>
      </w:r>
    </w:p>
    <w:p w:rsidR="00D7466B" w:rsidRDefault="00D7466B" w:rsidP="00E927B0">
      <w:pPr>
        <w:jc w:val="both"/>
        <w:rPr>
          <w:sz w:val="24"/>
          <w:szCs w:val="24"/>
        </w:rPr>
      </w:pPr>
      <w:proofErr w:type="spellStart"/>
      <w:r w:rsidRPr="00D7466B">
        <w:rPr>
          <w:sz w:val="24"/>
          <w:szCs w:val="24"/>
        </w:rPr>
        <w:t>Huitema</w:t>
      </w:r>
      <w:proofErr w:type="spellEnd"/>
      <w:r w:rsidRPr="00D7466B">
        <w:rPr>
          <w:sz w:val="24"/>
          <w:szCs w:val="24"/>
        </w:rPr>
        <w:t xml:space="preserve">, D., van de </w:t>
      </w:r>
      <w:proofErr w:type="spellStart"/>
      <w:r w:rsidRPr="00D7466B">
        <w:rPr>
          <w:sz w:val="24"/>
          <w:szCs w:val="24"/>
        </w:rPr>
        <w:t>Kerkhof</w:t>
      </w:r>
      <w:proofErr w:type="spellEnd"/>
      <w:r w:rsidRPr="00D7466B">
        <w:rPr>
          <w:sz w:val="24"/>
          <w:szCs w:val="24"/>
        </w:rPr>
        <w:t xml:space="preserve">, M. &amp; </w:t>
      </w:r>
      <w:proofErr w:type="spellStart"/>
      <w:r w:rsidRPr="00D7466B">
        <w:rPr>
          <w:sz w:val="24"/>
          <w:szCs w:val="24"/>
        </w:rPr>
        <w:t>Pesch</w:t>
      </w:r>
      <w:proofErr w:type="spellEnd"/>
      <w:r w:rsidRPr="00D7466B">
        <w:rPr>
          <w:sz w:val="24"/>
          <w:szCs w:val="24"/>
        </w:rPr>
        <w:t xml:space="preserve">, U. </w:t>
      </w:r>
      <w:r>
        <w:rPr>
          <w:sz w:val="24"/>
          <w:szCs w:val="24"/>
        </w:rPr>
        <w:t>(</w:t>
      </w:r>
      <w:r w:rsidRPr="00D7466B">
        <w:rPr>
          <w:sz w:val="24"/>
          <w:szCs w:val="24"/>
        </w:rPr>
        <w:t>2007</w:t>
      </w:r>
      <w:r>
        <w:rPr>
          <w:sz w:val="24"/>
          <w:szCs w:val="24"/>
        </w:rPr>
        <w:t>)</w:t>
      </w:r>
      <w:r w:rsidRPr="00D7466B">
        <w:rPr>
          <w:sz w:val="24"/>
          <w:szCs w:val="24"/>
        </w:rPr>
        <w:t xml:space="preserve"> </w:t>
      </w:r>
      <w:r w:rsidR="00FF33CB">
        <w:rPr>
          <w:sz w:val="24"/>
          <w:szCs w:val="24"/>
        </w:rPr>
        <w:t>‘</w:t>
      </w:r>
      <w:r w:rsidRPr="00D7466B">
        <w:rPr>
          <w:sz w:val="24"/>
          <w:szCs w:val="24"/>
        </w:rPr>
        <w:t>The nature of the beast: Are citizens’ juries deliberative or pluralist?</w:t>
      </w:r>
      <w:r w:rsidR="00FF33CB">
        <w:rPr>
          <w:sz w:val="24"/>
          <w:szCs w:val="24"/>
        </w:rPr>
        <w:t>’</w:t>
      </w:r>
      <w:r w:rsidRPr="00D7466B">
        <w:rPr>
          <w:sz w:val="24"/>
          <w:szCs w:val="24"/>
        </w:rPr>
        <w:t xml:space="preserve"> </w:t>
      </w:r>
      <w:r w:rsidRPr="00D7466B">
        <w:rPr>
          <w:i/>
          <w:iCs/>
          <w:sz w:val="24"/>
          <w:szCs w:val="24"/>
        </w:rPr>
        <w:t>Policy Sciences</w:t>
      </w:r>
      <w:r>
        <w:rPr>
          <w:sz w:val="24"/>
          <w:szCs w:val="24"/>
        </w:rPr>
        <w:t xml:space="preserve">, 40(4): </w:t>
      </w:r>
      <w:r w:rsidRPr="00D7466B">
        <w:rPr>
          <w:sz w:val="24"/>
          <w:szCs w:val="24"/>
        </w:rPr>
        <w:t>287–311.</w:t>
      </w:r>
    </w:p>
    <w:p w:rsidR="002A397D" w:rsidRDefault="002A397D" w:rsidP="002A397D">
      <w:pPr>
        <w:jc w:val="both"/>
        <w:rPr>
          <w:sz w:val="24"/>
          <w:szCs w:val="24"/>
        </w:rPr>
      </w:pPr>
      <w:r w:rsidRPr="002A397D">
        <w:rPr>
          <w:sz w:val="24"/>
          <w:szCs w:val="24"/>
        </w:rPr>
        <w:t xml:space="preserve">Involve (2016) </w:t>
      </w:r>
      <w:r w:rsidR="00FF33CB">
        <w:rPr>
          <w:sz w:val="24"/>
          <w:szCs w:val="24"/>
        </w:rPr>
        <w:t>‘</w:t>
      </w:r>
      <w:r w:rsidRPr="002A397D">
        <w:rPr>
          <w:sz w:val="24"/>
          <w:szCs w:val="24"/>
        </w:rPr>
        <w:t>NHS Citizen</w:t>
      </w:r>
      <w:r w:rsidR="00FF33CB">
        <w:rPr>
          <w:sz w:val="24"/>
          <w:szCs w:val="24"/>
        </w:rPr>
        <w:t>’,</w:t>
      </w:r>
      <w:r w:rsidRPr="002A397D">
        <w:rPr>
          <w:sz w:val="24"/>
          <w:szCs w:val="24"/>
        </w:rPr>
        <w:t xml:space="preserve"> Available online: </w:t>
      </w:r>
      <w:hyperlink r:id="rId13" w:history="1">
        <w:r w:rsidR="00022619" w:rsidRPr="00EE76A8">
          <w:rPr>
            <w:rStyle w:val="Hyperlink"/>
            <w:sz w:val="24"/>
            <w:szCs w:val="24"/>
          </w:rPr>
          <w:t>https://www.involve.org.uk/programmes/z-programme-nhs-citizen/</w:t>
        </w:r>
      </w:hyperlink>
    </w:p>
    <w:p w:rsidR="00022619" w:rsidRPr="00022619" w:rsidRDefault="00022619" w:rsidP="002A397D">
      <w:pPr>
        <w:jc w:val="both"/>
        <w:rPr>
          <w:sz w:val="24"/>
          <w:szCs w:val="24"/>
        </w:rPr>
      </w:pPr>
      <w:r>
        <w:rPr>
          <w:sz w:val="24"/>
          <w:szCs w:val="24"/>
        </w:rPr>
        <w:t>Joss, S. &amp; Durant, J. (199</w:t>
      </w:r>
      <w:r w:rsidR="00FF33CB">
        <w:rPr>
          <w:sz w:val="24"/>
          <w:szCs w:val="24"/>
        </w:rPr>
        <w:t>5)</w:t>
      </w:r>
      <w:r>
        <w:rPr>
          <w:sz w:val="24"/>
          <w:szCs w:val="24"/>
        </w:rPr>
        <w:t xml:space="preserve"> </w:t>
      </w:r>
      <w:r>
        <w:rPr>
          <w:i/>
          <w:sz w:val="24"/>
          <w:szCs w:val="24"/>
        </w:rPr>
        <w:t>Public Participation in Science: The Role of Consensus Conference in Europe</w:t>
      </w:r>
      <w:r>
        <w:rPr>
          <w:sz w:val="24"/>
          <w:szCs w:val="24"/>
        </w:rPr>
        <w:t>, London: Science Museum.</w:t>
      </w:r>
    </w:p>
    <w:p w:rsidR="0092693A" w:rsidRDefault="0092693A" w:rsidP="0092693A">
      <w:pPr>
        <w:jc w:val="both"/>
        <w:rPr>
          <w:sz w:val="24"/>
          <w:szCs w:val="24"/>
        </w:rPr>
      </w:pPr>
      <w:r w:rsidRPr="0092693A">
        <w:rPr>
          <w:sz w:val="24"/>
          <w:szCs w:val="24"/>
        </w:rPr>
        <w:fldChar w:fldCharType="begin" w:fldLock="1"/>
      </w:r>
      <w:r w:rsidRPr="0092693A">
        <w:rPr>
          <w:sz w:val="24"/>
          <w:szCs w:val="24"/>
        </w:rPr>
        <w:instrText xml:space="preserve">ADDIN Mendeley Bibliography CSL_BIBLIOGRAPHY </w:instrText>
      </w:r>
      <w:r w:rsidRPr="0092693A">
        <w:rPr>
          <w:sz w:val="24"/>
          <w:szCs w:val="24"/>
        </w:rPr>
        <w:fldChar w:fldCharType="separate"/>
      </w:r>
      <w:r w:rsidRPr="0092693A">
        <w:rPr>
          <w:sz w:val="24"/>
          <w:szCs w:val="24"/>
        </w:rPr>
        <w:t xml:space="preserve">Joss, S. &amp; Klüver, L. </w:t>
      </w:r>
      <w:r>
        <w:rPr>
          <w:sz w:val="24"/>
          <w:szCs w:val="24"/>
        </w:rPr>
        <w:t>(</w:t>
      </w:r>
      <w:r w:rsidRPr="0092693A">
        <w:rPr>
          <w:sz w:val="24"/>
          <w:szCs w:val="24"/>
        </w:rPr>
        <w:t>2001</w:t>
      </w:r>
      <w:r>
        <w:rPr>
          <w:sz w:val="24"/>
          <w:szCs w:val="24"/>
        </w:rPr>
        <w:t>)</w:t>
      </w:r>
      <w:r w:rsidRPr="0092693A">
        <w:rPr>
          <w:sz w:val="24"/>
          <w:szCs w:val="24"/>
        </w:rPr>
        <w:t xml:space="preserve"> </w:t>
      </w:r>
      <w:r w:rsidRPr="0092693A">
        <w:rPr>
          <w:i/>
          <w:iCs/>
          <w:sz w:val="24"/>
          <w:szCs w:val="24"/>
        </w:rPr>
        <w:t>The Denmark National Report: Assessing Debate and Participative</w:t>
      </w:r>
      <w:r>
        <w:rPr>
          <w:i/>
          <w:iCs/>
          <w:sz w:val="24"/>
          <w:szCs w:val="24"/>
        </w:rPr>
        <w:t xml:space="preserve"> Technology Assessment (ADAPTA)</w:t>
      </w:r>
      <w:r>
        <w:rPr>
          <w:iCs/>
          <w:sz w:val="24"/>
          <w:szCs w:val="24"/>
        </w:rPr>
        <w:t>.</w:t>
      </w:r>
      <w:r w:rsidRPr="0092693A">
        <w:rPr>
          <w:sz w:val="24"/>
          <w:szCs w:val="24"/>
        </w:rPr>
        <w:fldChar w:fldCharType="end"/>
      </w:r>
    </w:p>
    <w:p w:rsidR="00965E1D" w:rsidRPr="00965E1D" w:rsidRDefault="00965E1D" w:rsidP="00965E1D">
      <w:pPr>
        <w:jc w:val="both"/>
        <w:rPr>
          <w:sz w:val="24"/>
          <w:szCs w:val="24"/>
          <w:lang w:val="en-US"/>
        </w:rPr>
      </w:pPr>
      <w:proofErr w:type="spellStart"/>
      <w:r w:rsidRPr="00965E1D">
        <w:rPr>
          <w:sz w:val="24"/>
          <w:szCs w:val="24"/>
        </w:rPr>
        <w:t>Lansdell</w:t>
      </w:r>
      <w:proofErr w:type="spellEnd"/>
      <w:r w:rsidRPr="00965E1D">
        <w:rPr>
          <w:sz w:val="24"/>
          <w:szCs w:val="24"/>
        </w:rPr>
        <w:t xml:space="preserve">, S. (2011) </w:t>
      </w:r>
      <w:r w:rsidRPr="00965E1D">
        <w:rPr>
          <w:i/>
          <w:sz w:val="24"/>
          <w:szCs w:val="24"/>
        </w:rPr>
        <w:t>The Use of Experts in Public Dialogues</w:t>
      </w:r>
      <w:r w:rsidRPr="00965E1D">
        <w:rPr>
          <w:sz w:val="24"/>
          <w:szCs w:val="24"/>
        </w:rPr>
        <w:t xml:space="preserve">, </w:t>
      </w:r>
      <w:proofErr w:type="spellStart"/>
      <w:r w:rsidRPr="00965E1D">
        <w:rPr>
          <w:sz w:val="24"/>
          <w:szCs w:val="24"/>
        </w:rPr>
        <w:t>Sciencewise</w:t>
      </w:r>
      <w:proofErr w:type="spellEnd"/>
      <w:r w:rsidRPr="00965E1D">
        <w:rPr>
          <w:sz w:val="24"/>
          <w:szCs w:val="24"/>
        </w:rPr>
        <w:t>-ERC.</w:t>
      </w:r>
    </w:p>
    <w:p w:rsidR="00850E33" w:rsidRPr="00850E33" w:rsidRDefault="00850E33" w:rsidP="00850E33">
      <w:pPr>
        <w:jc w:val="both"/>
        <w:rPr>
          <w:sz w:val="24"/>
          <w:szCs w:val="24"/>
        </w:rPr>
      </w:pPr>
      <w:proofErr w:type="spellStart"/>
      <w:r w:rsidRPr="00850E33">
        <w:rPr>
          <w:sz w:val="24"/>
          <w:szCs w:val="24"/>
        </w:rPr>
        <w:t>Lemaire</w:t>
      </w:r>
      <w:proofErr w:type="spellEnd"/>
      <w:r w:rsidRPr="00850E33">
        <w:rPr>
          <w:sz w:val="24"/>
          <w:szCs w:val="24"/>
        </w:rPr>
        <w:t xml:space="preserve">, Olivier, </w:t>
      </w:r>
      <w:proofErr w:type="spellStart"/>
      <w:r w:rsidRPr="00850E33">
        <w:rPr>
          <w:sz w:val="24"/>
          <w:szCs w:val="24"/>
        </w:rPr>
        <w:t>Moneyron</w:t>
      </w:r>
      <w:proofErr w:type="spellEnd"/>
      <w:r w:rsidRPr="00850E33">
        <w:rPr>
          <w:sz w:val="24"/>
          <w:szCs w:val="24"/>
        </w:rPr>
        <w:t>, A</w:t>
      </w:r>
      <w:r>
        <w:rPr>
          <w:sz w:val="24"/>
          <w:szCs w:val="24"/>
        </w:rPr>
        <w:t>n</w:t>
      </w:r>
      <w:r w:rsidR="00FF33CB">
        <w:rPr>
          <w:sz w:val="24"/>
          <w:szCs w:val="24"/>
        </w:rPr>
        <w:t>ne, &amp; Masson, Jean E. (2010) ‘</w:t>
      </w:r>
      <w:r w:rsidRPr="00850E33">
        <w:rPr>
          <w:sz w:val="24"/>
          <w:szCs w:val="24"/>
        </w:rPr>
        <w:t>In</w:t>
      </w:r>
      <w:r w:rsidR="00FF33CB">
        <w:rPr>
          <w:sz w:val="24"/>
          <w:szCs w:val="24"/>
        </w:rPr>
        <w:t>teractive Technology Assessment</w:t>
      </w:r>
      <w:r w:rsidRPr="00850E33">
        <w:rPr>
          <w:sz w:val="24"/>
          <w:szCs w:val="24"/>
        </w:rPr>
        <w:t xml:space="preserve"> and Beyond: The field trial of genetically modified grapevines at INRA-Colmar. </w:t>
      </w:r>
      <w:proofErr w:type="spellStart"/>
      <w:r w:rsidRPr="00850E33">
        <w:rPr>
          <w:i/>
          <w:sz w:val="24"/>
          <w:szCs w:val="24"/>
        </w:rPr>
        <w:t>PLoS</w:t>
      </w:r>
      <w:proofErr w:type="spellEnd"/>
      <w:r w:rsidRPr="00850E33">
        <w:rPr>
          <w:i/>
          <w:sz w:val="24"/>
          <w:szCs w:val="24"/>
        </w:rPr>
        <w:t xml:space="preserve"> Biology</w:t>
      </w:r>
      <w:r w:rsidRPr="00850E33">
        <w:rPr>
          <w:sz w:val="24"/>
          <w:szCs w:val="24"/>
        </w:rPr>
        <w:t>, 8(11</w:t>
      </w:r>
      <w:r>
        <w:rPr>
          <w:sz w:val="24"/>
          <w:szCs w:val="24"/>
        </w:rPr>
        <w:t>):</w:t>
      </w:r>
      <w:r w:rsidRPr="00850E33">
        <w:rPr>
          <w:sz w:val="24"/>
          <w:szCs w:val="24"/>
        </w:rPr>
        <w:t xml:space="preserve"> E1000551.</w:t>
      </w:r>
      <w:r w:rsidRPr="00850E33">
        <w:rPr>
          <w:sz w:val="24"/>
          <w:szCs w:val="24"/>
        </w:rPr>
        <w:tab/>
      </w:r>
    </w:p>
    <w:p w:rsidR="00850E33" w:rsidRPr="00850E33" w:rsidRDefault="00850E33" w:rsidP="00850E33">
      <w:pPr>
        <w:jc w:val="both"/>
        <w:rPr>
          <w:sz w:val="24"/>
          <w:szCs w:val="24"/>
        </w:rPr>
      </w:pPr>
      <w:r w:rsidRPr="00850E33">
        <w:rPr>
          <w:sz w:val="24"/>
          <w:szCs w:val="24"/>
        </w:rPr>
        <w:t>Lip, G.Y.H &amp; Ramsay, S.G (2014)</w:t>
      </w:r>
      <w:r w:rsidR="00FF33CB">
        <w:rPr>
          <w:sz w:val="24"/>
          <w:szCs w:val="24"/>
        </w:rPr>
        <w:t xml:space="preserve"> </w:t>
      </w:r>
      <w:r>
        <w:rPr>
          <w:sz w:val="24"/>
          <w:szCs w:val="24"/>
        </w:rPr>
        <w:t>‘</w:t>
      </w:r>
      <w:r w:rsidRPr="00850E33">
        <w:rPr>
          <w:sz w:val="24"/>
          <w:szCs w:val="24"/>
        </w:rPr>
        <w:t>Insights from the RCPE UK Consensus Conference on approaching the comprehensive ma</w:t>
      </w:r>
      <w:r w:rsidR="00FF33CB">
        <w:rPr>
          <w:sz w:val="24"/>
          <w:szCs w:val="24"/>
        </w:rPr>
        <w:t>nagement of atrial fibrillation</w:t>
      </w:r>
      <w:r>
        <w:rPr>
          <w:sz w:val="24"/>
          <w:szCs w:val="24"/>
        </w:rPr>
        <w:t>’</w:t>
      </w:r>
      <w:r w:rsidR="00FF33CB">
        <w:rPr>
          <w:sz w:val="24"/>
          <w:szCs w:val="24"/>
        </w:rPr>
        <w:t>,</w:t>
      </w:r>
      <w:r w:rsidRPr="00850E33">
        <w:rPr>
          <w:sz w:val="24"/>
          <w:szCs w:val="24"/>
        </w:rPr>
        <w:t xml:space="preserve"> </w:t>
      </w:r>
      <w:r w:rsidRPr="00850E33">
        <w:rPr>
          <w:i/>
          <w:sz w:val="24"/>
          <w:szCs w:val="24"/>
        </w:rPr>
        <w:t>Expert Review of Cardiovascular Therapy</w:t>
      </w:r>
      <w:r>
        <w:rPr>
          <w:sz w:val="24"/>
          <w:szCs w:val="24"/>
        </w:rPr>
        <w:t xml:space="preserve">, 10:6: </w:t>
      </w:r>
      <w:r w:rsidRPr="00850E33">
        <w:rPr>
          <w:sz w:val="24"/>
          <w:szCs w:val="24"/>
        </w:rPr>
        <w:t>697-700.</w:t>
      </w:r>
    </w:p>
    <w:p w:rsidR="00850E33" w:rsidRDefault="00850E33" w:rsidP="00850E33">
      <w:pPr>
        <w:jc w:val="both"/>
        <w:rPr>
          <w:sz w:val="24"/>
          <w:szCs w:val="24"/>
        </w:rPr>
      </w:pPr>
      <w:r w:rsidRPr="00850E33">
        <w:rPr>
          <w:sz w:val="24"/>
          <w:szCs w:val="24"/>
        </w:rPr>
        <w:t xml:space="preserve">Longley, M.J (2006) </w:t>
      </w:r>
      <w:r w:rsidR="00FF33CB">
        <w:rPr>
          <w:sz w:val="24"/>
          <w:szCs w:val="24"/>
        </w:rPr>
        <w:t>‘</w:t>
      </w:r>
      <w:r w:rsidRPr="00850E33">
        <w:rPr>
          <w:sz w:val="24"/>
          <w:szCs w:val="24"/>
        </w:rPr>
        <w:t>Citizens' Jury on Genet</w:t>
      </w:r>
      <w:r w:rsidR="00FF33CB">
        <w:rPr>
          <w:sz w:val="24"/>
          <w:szCs w:val="24"/>
        </w:rPr>
        <w:t>ic Testing for Common Disorders’,</w:t>
      </w:r>
      <w:r w:rsidRPr="00850E33">
        <w:rPr>
          <w:sz w:val="24"/>
          <w:szCs w:val="24"/>
        </w:rPr>
        <w:t xml:space="preserve"> </w:t>
      </w:r>
      <w:r w:rsidRPr="00850E33">
        <w:rPr>
          <w:i/>
          <w:sz w:val="24"/>
          <w:szCs w:val="24"/>
        </w:rPr>
        <w:t>Encyclopaedia of Life Sciences</w:t>
      </w:r>
      <w:r w:rsidRPr="00850E33">
        <w:rPr>
          <w:sz w:val="24"/>
          <w:szCs w:val="24"/>
        </w:rPr>
        <w:t>. John Wiley &amp; Sons Ltd, Chichester.</w:t>
      </w:r>
    </w:p>
    <w:p w:rsidR="00CB511B" w:rsidRPr="00CB511B" w:rsidRDefault="00CB511B" w:rsidP="00CB511B">
      <w:pPr>
        <w:jc w:val="both"/>
        <w:rPr>
          <w:sz w:val="24"/>
          <w:szCs w:val="24"/>
        </w:rPr>
      </w:pPr>
      <w:proofErr w:type="spellStart"/>
      <w:r w:rsidRPr="00CB511B">
        <w:rPr>
          <w:sz w:val="24"/>
          <w:szCs w:val="24"/>
        </w:rPr>
        <w:t>Lowi</w:t>
      </w:r>
      <w:proofErr w:type="spellEnd"/>
      <w:r w:rsidRPr="00CB511B">
        <w:rPr>
          <w:sz w:val="24"/>
          <w:szCs w:val="24"/>
        </w:rPr>
        <w:t>, T.J. (1972) ‘</w:t>
      </w:r>
      <w:r w:rsidRPr="00CB511B">
        <w:rPr>
          <w:iCs/>
          <w:sz w:val="24"/>
          <w:szCs w:val="24"/>
        </w:rPr>
        <w:t>Four Systems of Policy, Politics, and Choice’</w:t>
      </w:r>
      <w:r w:rsidRPr="00CB511B">
        <w:rPr>
          <w:sz w:val="24"/>
          <w:szCs w:val="24"/>
        </w:rPr>
        <w:t xml:space="preserve">, </w:t>
      </w:r>
      <w:r w:rsidRPr="00CB511B">
        <w:rPr>
          <w:i/>
          <w:sz w:val="24"/>
          <w:szCs w:val="24"/>
        </w:rPr>
        <w:t>Public Administration Revi</w:t>
      </w:r>
      <w:r w:rsidRPr="00CB511B">
        <w:rPr>
          <w:sz w:val="24"/>
          <w:szCs w:val="24"/>
        </w:rPr>
        <w:t>ew, 32(4): 298-310. </w:t>
      </w:r>
    </w:p>
    <w:p w:rsidR="00FE37C0" w:rsidRDefault="00850E33" w:rsidP="00850E33">
      <w:pPr>
        <w:jc w:val="both"/>
        <w:rPr>
          <w:sz w:val="24"/>
          <w:szCs w:val="24"/>
        </w:rPr>
      </w:pPr>
      <w:r w:rsidRPr="00850E33">
        <w:rPr>
          <w:sz w:val="24"/>
          <w:szCs w:val="24"/>
        </w:rPr>
        <w:t xml:space="preserve">Luskin, R.C., O'Flynn, I., </w:t>
      </w:r>
      <w:proofErr w:type="spellStart"/>
      <w:r w:rsidRPr="00850E33">
        <w:rPr>
          <w:sz w:val="24"/>
          <w:szCs w:val="24"/>
        </w:rPr>
        <w:t>Fis</w:t>
      </w:r>
      <w:r>
        <w:rPr>
          <w:sz w:val="24"/>
          <w:szCs w:val="24"/>
        </w:rPr>
        <w:t>h</w:t>
      </w:r>
      <w:r w:rsidRPr="00850E33">
        <w:rPr>
          <w:sz w:val="24"/>
          <w:szCs w:val="24"/>
        </w:rPr>
        <w:t>kin</w:t>
      </w:r>
      <w:proofErr w:type="spellEnd"/>
      <w:r w:rsidRPr="00850E33">
        <w:rPr>
          <w:sz w:val="24"/>
          <w:szCs w:val="24"/>
        </w:rPr>
        <w:t xml:space="preserve">, J.S. &amp; Russell, D. (2014) </w:t>
      </w:r>
      <w:r>
        <w:rPr>
          <w:sz w:val="24"/>
          <w:szCs w:val="24"/>
        </w:rPr>
        <w:t>‘</w:t>
      </w:r>
      <w:r w:rsidRPr="00850E33">
        <w:rPr>
          <w:sz w:val="24"/>
          <w:szCs w:val="24"/>
        </w:rPr>
        <w:t>D</w:t>
      </w:r>
      <w:r>
        <w:rPr>
          <w:sz w:val="24"/>
          <w:szCs w:val="24"/>
        </w:rPr>
        <w:t>eliberating across Deep Divides’,</w:t>
      </w:r>
      <w:r w:rsidRPr="00850E33">
        <w:rPr>
          <w:sz w:val="24"/>
          <w:szCs w:val="24"/>
        </w:rPr>
        <w:t xml:space="preserve"> </w:t>
      </w:r>
      <w:r w:rsidRPr="00850E33">
        <w:rPr>
          <w:i/>
          <w:sz w:val="24"/>
          <w:szCs w:val="24"/>
        </w:rPr>
        <w:t>Political Studies</w:t>
      </w:r>
      <w:r>
        <w:rPr>
          <w:sz w:val="24"/>
          <w:szCs w:val="24"/>
        </w:rPr>
        <w:t xml:space="preserve">, 62: </w:t>
      </w:r>
      <w:r w:rsidRPr="00850E33">
        <w:rPr>
          <w:sz w:val="24"/>
          <w:szCs w:val="24"/>
        </w:rPr>
        <w:t xml:space="preserve">116 </w:t>
      </w:r>
      <w:r>
        <w:rPr>
          <w:sz w:val="24"/>
          <w:szCs w:val="24"/>
        </w:rPr>
        <w:t>–</w:t>
      </w:r>
      <w:r w:rsidRPr="00850E33">
        <w:rPr>
          <w:sz w:val="24"/>
          <w:szCs w:val="24"/>
        </w:rPr>
        <w:t xml:space="preserve"> 135</w:t>
      </w:r>
      <w:r>
        <w:rPr>
          <w:sz w:val="24"/>
          <w:szCs w:val="24"/>
        </w:rPr>
        <w:t>.</w:t>
      </w:r>
    </w:p>
    <w:p w:rsidR="00FE37C0" w:rsidRPr="00FE37C0" w:rsidRDefault="00FE37C0" w:rsidP="00FE37C0">
      <w:pPr>
        <w:jc w:val="both"/>
        <w:rPr>
          <w:sz w:val="24"/>
          <w:szCs w:val="24"/>
        </w:rPr>
      </w:pPr>
      <w:proofErr w:type="spellStart"/>
      <w:r w:rsidRPr="00FE37C0">
        <w:rPr>
          <w:sz w:val="24"/>
          <w:szCs w:val="24"/>
        </w:rPr>
        <w:t>MacKenzie</w:t>
      </w:r>
      <w:proofErr w:type="spellEnd"/>
      <w:r w:rsidRPr="00FE37C0">
        <w:rPr>
          <w:sz w:val="24"/>
          <w:szCs w:val="24"/>
        </w:rPr>
        <w:t xml:space="preserve">, M.K. and Warren, M. E. (2012) ‘Two Trust-based Uses of </w:t>
      </w:r>
      <w:proofErr w:type="spellStart"/>
      <w:r w:rsidRPr="00FE37C0">
        <w:rPr>
          <w:sz w:val="24"/>
          <w:szCs w:val="24"/>
        </w:rPr>
        <w:t>Minipublics</w:t>
      </w:r>
      <w:proofErr w:type="spellEnd"/>
      <w:r w:rsidRPr="00FE37C0">
        <w:rPr>
          <w:sz w:val="24"/>
          <w:szCs w:val="24"/>
        </w:rPr>
        <w:t xml:space="preserve"> in Democratic Systems’, in J. Parkinson and J. </w:t>
      </w:r>
      <w:proofErr w:type="spellStart"/>
      <w:r w:rsidRPr="00FE37C0">
        <w:rPr>
          <w:sz w:val="24"/>
          <w:szCs w:val="24"/>
        </w:rPr>
        <w:t>Mansbridge</w:t>
      </w:r>
      <w:proofErr w:type="spellEnd"/>
      <w:r w:rsidRPr="00FE37C0">
        <w:rPr>
          <w:sz w:val="24"/>
          <w:szCs w:val="24"/>
        </w:rPr>
        <w:t xml:space="preserve"> (eds.), </w:t>
      </w:r>
      <w:r w:rsidRPr="00FE37C0">
        <w:rPr>
          <w:i/>
          <w:sz w:val="24"/>
          <w:szCs w:val="24"/>
        </w:rPr>
        <w:t>Deliberative Systems: Deliberative Democracy at the Large Scale</w:t>
      </w:r>
      <w:r w:rsidRPr="00FE37C0">
        <w:rPr>
          <w:sz w:val="24"/>
          <w:szCs w:val="24"/>
        </w:rPr>
        <w:t>. Cambridge: Cambri</w:t>
      </w:r>
      <w:r>
        <w:rPr>
          <w:sz w:val="24"/>
          <w:szCs w:val="24"/>
        </w:rPr>
        <w:t>dge University Press</w:t>
      </w:r>
      <w:r w:rsidRPr="00FE37C0">
        <w:rPr>
          <w:sz w:val="24"/>
          <w:szCs w:val="24"/>
        </w:rPr>
        <w:t>.</w:t>
      </w:r>
    </w:p>
    <w:p w:rsidR="00850E33" w:rsidRPr="00850E33" w:rsidRDefault="00850E33" w:rsidP="00850E33">
      <w:pPr>
        <w:jc w:val="both"/>
        <w:rPr>
          <w:sz w:val="24"/>
          <w:szCs w:val="24"/>
        </w:rPr>
      </w:pPr>
      <w:proofErr w:type="spellStart"/>
      <w:r w:rsidRPr="00850E33">
        <w:rPr>
          <w:sz w:val="24"/>
          <w:szCs w:val="24"/>
        </w:rPr>
        <w:t>Meeuwisse</w:t>
      </w:r>
      <w:proofErr w:type="spellEnd"/>
      <w:r w:rsidRPr="00850E33">
        <w:rPr>
          <w:sz w:val="24"/>
          <w:szCs w:val="24"/>
        </w:rPr>
        <w:t xml:space="preserve">, W.H., Schneider, K.J., Dvorak, J.O., </w:t>
      </w:r>
      <w:proofErr w:type="spellStart"/>
      <w:r w:rsidRPr="00850E33">
        <w:rPr>
          <w:sz w:val="24"/>
          <w:szCs w:val="24"/>
        </w:rPr>
        <w:t>Onutobor</w:t>
      </w:r>
      <w:proofErr w:type="spellEnd"/>
      <w:r w:rsidRPr="00850E33">
        <w:rPr>
          <w:sz w:val="24"/>
          <w:szCs w:val="24"/>
        </w:rPr>
        <w:t xml:space="preserve"> T., Finch, C.F., Hayd</w:t>
      </w:r>
      <w:r w:rsidR="00FF33CB">
        <w:rPr>
          <w:sz w:val="24"/>
          <w:szCs w:val="24"/>
        </w:rPr>
        <w:t xml:space="preserve">en, K.A., &amp; </w:t>
      </w:r>
      <w:proofErr w:type="spellStart"/>
      <w:r w:rsidR="00FF33CB">
        <w:rPr>
          <w:sz w:val="24"/>
          <w:szCs w:val="24"/>
        </w:rPr>
        <w:t>McCrory</w:t>
      </w:r>
      <w:proofErr w:type="spellEnd"/>
      <w:r w:rsidR="00FF33CB">
        <w:rPr>
          <w:sz w:val="24"/>
          <w:szCs w:val="24"/>
        </w:rPr>
        <w:t>, P.. (2017)</w:t>
      </w:r>
      <w:r w:rsidRPr="00850E33">
        <w:rPr>
          <w:sz w:val="24"/>
          <w:szCs w:val="24"/>
        </w:rPr>
        <w:t xml:space="preserve"> </w:t>
      </w:r>
      <w:r>
        <w:rPr>
          <w:sz w:val="24"/>
          <w:szCs w:val="24"/>
        </w:rPr>
        <w:t>‘</w:t>
      </w:r>
      <w:r w:rsidRPr="00850E33">
        <w:rPr>
          <w:sz w:val="24"/>
          <w:szCs w:val="24"/>
        </w:rPr>
        <w:t>The Berlin 2016 process: A summary of methodology for the 5th International Consensus Co</w:t>
      </w:r>
      <w:r w:rsidR="00FF33CB">
        <w:rPr>
          <w:sz w:val="24"/>
          <w:szCs w:val="24"/>
        </w:rPr>
        <w:t>nference on Concussion in Sport</w:t>
      </w:r>
      <w:r>
        <w:rPr>
          <w:sz w:val="24"/>
          <w:szCs w:val="24"/>
        </w:rPr>
        <w:t>’</w:t>
      </w:r>
      <w:r w:rsidR="00FF33CB">
        <w:rPr>
          <w:sz w:val="24"/>
          <w:szCs w:val="24"/>
        </w:rPr>
        <w:t>,</w:t>
      </w:r>
      <w:r w:rsidRPr="00850E33">
        <w:rPr>
          <w:sz w:val="24"/>
          <w:szCs w:val="24"/>
        </w:rPr>
        <w:t xml:space="preserve"> </w:t>
      </w:r>
      <w:r w:rsidRPr="00850E33">
        <w:rPr>
          <w:i/>
          <w:sz w:val="24"/>
          <w:szCs w:val="24"/>
        </w:rPr>
        <w:t>British Journal of Sports Medicine</w:t>
      </w:r>
      <w:r w:rsidRPr="00850E33">
        <w:rPr>
          <w:sz w:val="24"/>
          <w:szCs w:val="24"/>
        </w:rPr>
        <w:t>, 51(11)</w:t>
      </w:r>
      <w:r>
        <w:rPr>
          <w:sz w:val="24"/>
          <w:szCs w:val="24"/>
        </w:rPr>
        <w:t>:</w:t>
      </w:r>
      <w:r w:rsidRPr="00850E33">
        <w:rPr>
          <w:sz w:val="24"/>
          <w:szCs w:val="24"/>
        </w:rPr>
        <w:t xml:space="preserve"> 873-876.</w:t>
      </w:r>
      <w:r w:rsidRPr="00850E33">
        <w:rPr>
          <w:sz w:val="24"/>
          <w:szCs w:val="24"/>
        </w:rPr>
        <w:tab/>
      </w:r>
    </w:p>
    <w:p w:rsidR="00850E33" w:rsidRPr="00850E33" w:rsidRDefault="00850E33" w:rsidP="00850E33">
      <w:pPr>
        <w:jc w:val="both"/>
        <w:rPr>
          <w:sz w:val="24"/>
          <w:szCs w:val="24"/>
        </w:rPr>
      </w:pPr>
      <w:proofErr w:type="spellStart"/>
      <w:r w:rsidRPr="00850E33">
        <w:rPr>
          <w:sz w:val="24"/>
          <w:szCs w:val="24"/>
        </w:rPr>
        <w:t>Möhler</w:t>
      </w:r>
      <w:proofErr w:type="spellEnd"/>
      <w:r w:rsidRPr="00850E33">
        <w:rPr>
          <w:sz w:val="24"/>
          <w:szCs w:val="24"/>
        </w:rPr>
        <w:t xml:space="preserve">, R., </w:t>
      </w:r>
      <w:proofErr w:type="spellStart"/>
      <w:r w:rsidRPr="00850E33">
        <w:rPr>
          <w:sz w:val="24"/>
          <w:szCs w:val="24"/>
        </w:rPr>
        <w:t>Köpke</w:t>
      </w:r>
      <w:proofErr w:type="spellEnd"/>
      <w:r w:rsidRPr="00850E33">
        <w:rPr>
          <w:sz w:val="24"/>
          <w:szCs w:val="24"/>
        </w:rPr>
        <w:t xml:space="preserve">, S., &amp; Meyer, G. (2015) </w:t>
      </w:r>
      <w:r>
        <w:rPr>
          <w:sz w:val="24"/>
          <w:szCs w:val="24"/>
        </w:rPr>
        <w:t>‘</w:t>
      </w:r>
      <w:r w:rsidRPr="00850E33">
        <w:rPr>
          <w:sz w:val="24"/>
          <w:szCs w:val="24"/>
        </w:rPr>
        <w:t>Criteria for Reporting the Development and Evaluation of Complex Interventions in healthcare: Revised guideline (</w:t>
      </w:r>
      <w:proofErr w:type="spellStart"/>
      <w:r w:rsidRPr="00850E33">
        <w:rPr>
          <w:sz w:val="24"/>
          <w:szCs w:val="24"/>
        </w:rPr>
        <w:t>CReDECI</w:t>
      </w:r>
      <w:proofErr w:type="spellEnd"/>
      <w:r w:rsidRPr="00850E33">
        <w:rPr>
          <w:sz w:val="24"/>
          <w:szCs w:val="24"/>
        </w:rPr>
        <w:t xml:space="preserve"> 2).</w:t>
      </w:r>
      <w:r>
        <w:rPr>
          <w:sz w:val="24"/>
          <w:szCs w:val="24"/>
        </w:rPr>
        <w:t>’</w:t>
      </w:r>
      <w:r w:rsidRPr="00850E33">
        <w:rPr>
          <w:sz w:val="24"/>
          <w:szCs w:val="24"/>
        </w:rPr>
        <w:t xml:space="preserve"> </w:t>
      </w:r>
      <w:r w:rsidRPr="00850E33">
        <w:rPr>
          <w:i/>
          <w:sz w:val="24"/>
          <w:szCs w:val="24"/>
        </w:rPr>
        <w:t>Trials</w:t>
      </w:r>
      <w:r>
        <w:rPr>
          <w:sz w:val="24"/>
          <w:szCs w:val="24"/>
        </w:rPr>
        <w:t>, 16:</w:t>
      </w:r>
      <w:r w:rsidRPr="00850E33">
        <w:rPr>
          <w:sz w:val="24"/>
          <w:szCs w:val="24"/>
        </w:rPr>
        <w:t xml:space="preserve"> 204.</w:t>
      </w:r>
    </w:p>
    <w:p w:rsidR="00850E33" w:rsidRPr="00850E33" w:rsidRDefault="00850E33" w:rsidP="00850E33">
      <w:pPr>
        <w:jc w:val="both"/>
        <w:rPr>
          <w:sz w:val="24"/>
          <w:szCs w:val="24"/>
        </w:rPr>
      </w:pPr>
      <w:proofErr w:type="spellStart"/>
      <w:r w:rsidRPr="00850E33">
        <w:rPr>
          <w:sz w:val="24"/>
          <w:szCs w:val="24"/>
        </w:rPr>
        <w:lastRenderedPageBreak/>
        <w:t>Neilsen</w:t>
      </w:r>
      <w:proofErr w:type="spellEnd"/>
      <w:r w:rsidRPr="00850E33">
        <w:rPr>
          <w:sz w:val="24"/>
          <w:szCs w:val="24"/>
        </w:rPr>
        <w:t xml:space="preserve">, A., </w:t>
      </w:r>
      <w:proofErr w:type="spellStart"/>
      <w:r w:rsidRPr="00850E33">
        <w:rPr>
          <w:sz w:val="24"/>
          <w:szCs w:val="24"/>
        </w:rPr>
        <w:t>Lassen</w:t>
      </w:r>
      <w:proofErr w:type="spellEnd"/>
      <w:r w:rsidRPr="00850E33">
        <w:rPr>
          <w:sz w:val="24"/>
          <w:szCs w:val="24"/>
        </w:rPr>
        <w:t xml:space="preserve">, J. &amp; </w:t>
      </w:r>
      <w:proofErr w:type="spellStart"/>
      <w:r w:rsidRPr="00850E33">
        <w:rPr>
          <w:sz w:val="24"/>
          <w:szCs w:val="24"/>
        </w:rPr>
        <w:t>Sandøe</w:t>
      </w:r>
      <w:proofErr w:type="spellEnd"/>
      <w:r w:rsidRPr="00850E33">
        <w:rPr>
          <w:sz w:val="24"/>
          <w:szCs w:val="24"/>
        </w:rPr>
        <w:t xml:space="preserve">, P. (2007) </w:t>
      </w:r>
      <w:r>
        <w:rPr>
          <w:sz w:val="24"/>
          <w:szCs w:val="24"/>
        </w:rPr>
        <w:t>‘</w:t>
      </w:r>
      <w:r w:rsidRPr="00850E33">
        <w:rPr>
          <w:sz w:val="24"/>
          <w:szCs w:val="24"/>
        </w:rPr>
        <w:t>Democracy at its Best? The Consensus Conference in a Cross-national Perspective</w:t>
      </w:r>
      <w:r>
        <w:rPr>
          <w:sz w:val="24"/>
          <w:szCs w:val="24"/>
        </w:rPr>
        <w:t>’</w:t>
      </w:r>
      <w:r w:rsidR="00FF33CB">
        <w:rPr>
          <w:sz w:val="24"/>
          <w:szCs w:val="24"/>
        </w:rPr>
        <w:t>,</w:t>
      </w:r>
      <w:r w:rsidRPr="00850E33">
        <w:rPr>
          <w:sz w:val="24"/>
          <w:szCs w:val="24"/>
        </w:rPr>
        <w:t xml:space="preserve"> </w:t>
      </w:r>
      <w:r w:rsidRPr="00850E33">
        <w:rPr>
          <w:i/>
          <w:sz w:val="24"/>
          <w:szCs w:val="24"/>
        </w:rPr>
        <w:t>Journal of Agricultural and Environmental Ethics</w:t>
      </w:r>
      <w:r>
        <w:rPr>
          <w:sz w:val="24"/>
          <w:szCs w:val="24"/>
        </w:rPr>
        <w:t xml:space="preserve">, 20(1): </w:t>
      </w:r>
      <w:r w:rsidRPr="00850E33">
        <w:rPr>
          <w:sz w:val="24"/>
          <w:szCs w:val="24"/>
        </w:rPr>
        <w:t>13-35.</w:t>
      </w:r>
    </w:p>
    <w:p w:rsidR="00E927B0" w:rsidRPr="00E927B0" w:rsidRDefault="00E927B0" w:rsidP="00E927B0">
      <w:pPr>
        <w:jc w:val="both"/>
        <w:rPr>
          <w:sz w:val="24"/>
          <w:szCs w:val="24"/>
        </w:rPr>
      </w:pPr>
      <w:r w:rsidRPr="00E927B0">
        <w:rPr>
          <w:sz w:val="24"/>
          <w:szCs w:val="24"/>
        </w:rPr>
        <w:t xml:space="preserve">New Democracy Foundation (2014) </w:t>
      </w:r>
      <w:r w:rsidR="00FF33CB">
        <w:rPr>
          <w:sz w:val="24"/>
          <w:szCs w:val="24"/>
        </w:rPr>
        <w:t>‘</w:t>
      </w:r>
      <w:r w:rsidRPr="00E927B0">
        <w:rPr>
          <w:sz w:val="24"/>
          <w:szCs w:val="24"/>
        </w:rPr>
        <w:t>Report of the Citizens’ Policy Jury: Vibrant and Saf</w:t>
      </w:r>
      <w:r w:rsidR="00FF33CB">
        <w:rPr>
          <w:sz w:val="24"/>
          <w:szCs w:val="24"/>
        </w:rPr>
        <w:t xml:space="preserve">e Sydney Nightlife.’ Sydney: </w:t>
      </w:r>
      <w:proofErr w:type="spellStart"/>
      <w:r w:rsidR="00FF33CB">
        <w:rPr>
          <w:sz w:val="24"/>
          <w:szCs w:val="24"/>
        </w:rPr>
        <w:t>new</w:t>
      </w:r>
      <w:r w:rsidRPr="00E927B0">
        <w:rPr>
          <w:sz w:val="24"/>
          <w:szCs w:val="24"/>
        </w:rPr>
        <w:t>Democracy</w:t>
      </w:r>
      <w:proofErr w:type="spellEnd"/>
      <w:r w:rsidRPr="00E927B0">
        <w:rPr>
          <w:sz w:val="24"/>
          <w:szCs w:val="24"/>
        </w:rPr>
        <w:t xml:space="preserve"> Foundation.</w:t>
      </w:r>
    </w:p>
    <w:p w:rsidR="00E927B0" w:rsidRPr="00E927B0" w:rsidRDefault="00E927B0" w:rsidP="00E927B0">
      <w:pPr>
        <w:jc w:val="both"/>
        <w:rPr>
          <w:sz w:val="24"/>
          <w:szCs w:val="24"/>
        </w:rPr>
      </w:pPr>
      <w:r w:rsidRPr="00E927B0">
        <w:rPr>
          <w:sz w:val="24"/>
          <w:szCs w:val="24"/>
        </w:rPr>
        <w:t xml:space="preserve">Parkin, L., &amp; Paul, C. (2010) </w:t>
      </w:r>
      <w:r w:rsidR="00FF33CB">
        <w:rPr>
          <w:sz w:val="24"/>
          <w:szCs w:val="24"/>
        </w:rPr>
        <w:t>‘</w:t>
      </w:r>
      <w:r w:rsidRPr="00E927B0">
        <w:rPr>
          <w:sz w:val="24"/>
          <w:szCs w:val="24"/>
        </w:rPr>
        <w:t xml:space="preserve">Public good, personal privacy: a citizens' deliberation about using medical information for </w:t>
      </w:r>
      <w:proofErr w:type="spellStart"/>
      <w:r w:rsidRPr="00E927B0">
        <w:rPr>
          <w:sz w:val="24"/>
          <w:szCs w:val="24"/>
        </w:rPr>
        <w:t>p</w:t>
      </w:r>
      <w:r w:rsidR="00FF33CB">
        <w:rPr>
          <w:sz w:val="24"/>
          <w:szCs w:val="24"/>
        </w:rPr>
        <w:t>harmacoepidemiological</w:t>
      </w:r>
      <w:proofErr w:type="spellEnd"/>
      <w:r w:rsidR="00FF33CB">
        <w:rPr>
          <w:sz w:val="24"/>
          <w:szCs w:val="24"/>
        </w:rPr>
        <w:t xml:space="preserve"> research’,</w:t>
      </w:r>
      <w:r w:rsidRPr="00E927B0">
        <w:rPr>
          <w:sz w:val="24"/>
          <w:szCs w:val="24"/>
        </w:rPr>
        <w:t> </w:t>
      </w:r>
      <w:r w:rsidRPr="00E927B0">
        <w:rPr>
          <w:i/>
          <w:iCs/>
          <w:sz w:val="24"/>
          <w:szCs w:val="24"/>
        </w:rPr>
        <w:t>Journal of Epidemiology &amp; Community Health</w:t>
      </w:r>
      <w:r w:rsidRPr="00E927B0">
        <w:rPr>
          <w:sz w:val="24"/>
          <w:szCs w:val="24"/>
        </w:rPr>
        <w:t>, jech-2009.</w:t>
      </w:r>
    </w:p>
    <w:p w:rsidR="00E927B0" w:rsidRPr="00E927B0" w:rsidRDefault="00E927B0" w:rsidP="00E927B0">
      <w:pPr>
        <w:jc w:val="both"/>
        <w:rPr>
          <w:sz w:val="24"/>
          <w:szCs w:val="24"/>
        </w:rPr>
      </w:pPr>
      <w:proofErr w:type="spellStart"/>
      <w:r w:rsidRPr="00E927B0">
        <w:rPr>
          <w:sz w:val="24"/>
          <w:szCs w:val="24"/>
        </w:rPr>
        <w:t>Parrella</w:t>
      </w:r>
      <w:proofErr w:type="spellEnd"/>
      <w:r w:rsidRPr="00E927B0">
        <w:rPr>
          <w:sz w:val="24"/>
          <w:szCs w:val="24"/>
        </w:rPr>
        <w:t xml:space="preserve">, A., </w:t>
      </w:r>
      <w:proofErr w:type="spellStart"/>
      <w:r w:rsidRPr="00E927B0">
        <w:rPr>
          <w:sz w:val="24"/>
          <w:szCs w:val="24"/>
        </w:rPr>
        <w:t>Braunack</w:t>
      </w:r>
      <w:proofErr w:type="spellEnd"/>
      <w:r w:rsidRPr="00E927B0">
        <w:rPr>
          <w:sz w:val="24"/>
          <w:szCs w:val="24"/>
        </w:rPr>
        <w:t xml:space="preserve">-Mayer, A., Collins, J., Clarke, M., </w:t>
      </w:r>
      <w:proofErr w:type="spellStart"/>
      <w:r w:rsidRPr="00E927B0">
        <w:rPr>
          <w:sz w:val="24"/>
          <w:szCs w:val="24"/>
        </w:rPr>
        <w:t>Tooher</w:t>
      </w:r>
      <w:proofErr w:type="spellEnd"/>
      <w:r w:rsidRPr="00E927B0">
        <w:rPr>
          <w:sz w:val="24"/>
          <w:szCs w:val="24"/>
        </w:rPr>
        <w:t xml:space="preserve">, R., </w:t>
      </w:r>
      <w:proofErr w:type="spellStart"/>
      <w:r w:rsidRPr="00E927B0">
        <w:rPr>
          <w:sz w:val="24"/>
          <w:szCs w:val="24"/>
        </w:rPr>
        <w:t>Ratcliffe</w:t>
      </w:r>
      <w:proofErr w:type="spellEnd"/>
      <w:r w:rsidRPr="00E927B0">
        <w:rPr>
          <w:sz w:val="24"/>
          <w:szCs w:val="24"/>
        </w:rPr>
        <w:t xml:space="preserve">, J., &amp; Marshall, H. (2016) </w:t>
      </w:r>
      <w:r w:rsidR="00FF33CB">
        <w:rPr>
          <w:sz w:val="24"/>
          <w:szCs w:val="24"/>
        </w:rPr>
        <w:t>‘</w:t>
      </w:r>
      <w:r w:rsidRPr="00E927B0">
        <w:rPr>
          <w:sz w:val="24"/>
          <w:szCs w:val="24"/>
        </w:rPr>
        <w:t>Prioritizing government funding of adolescent vaccinations: recommendations from y</w:t>
      </w:r>
      <w:r w:rsidR="00FF33CB">
        <w:rPr>
          <w:sz w:val="24"/>
          <w:szCs w:val="24"/>
        </w:rPr>
        <w:t>oung people on a citizens’ jury’,</w:t>
      </w:r>
      <w:r w:rsidRPr="00E927B0">
        <w:rPr>
          <w:sz w:val="24"/>
          <w:szCs w:val="24"/>
        </w:rPr>
        <w:t> </w:t>
      </w:r>
      <w:r w:rsidRPr="00E927B0">
        <w:rPr>
          <w:i/>
          <w:iCs/>
          <w:sz w:val="24"/>
          <w:szCs w:val="24"/>
        </w:rPr>
        <w:t>Vaccine</w:t>
      </w:r>
      <w:r w:rsidRPr="00E927B0">
        <w:rPr>
          <w:sz w:val="24"/>
          <w:szCs w:val="24"/>
        </w:rPr>
        <w:t>, </w:t>
      </w:r>
      <w:r w:rsidRPr="00E927B0">
        <w:rPr>
          <w:i/>
          <w:iCs/>
          <w:sz w:val="24"/>
          <w:szCs w:val="24"/>
        </w:rPr>
        <w:t>34</w:t>
      </w:r>
      <w:r w:rsidRPr="00E927B0">
        <w:rPr>
          <w:sz w:val="24"/>
          <w:szCs w:val="24"/>
        </w:rPr>
        <w:t>(31), 3592-3597.</w:t>
      </w:r>
    </w:p>
    <w:p w:rsidR="00E927B0" w:rsidRDefault="00E927B0" w:rsidP="00E927B0">
      <w:pPr>
        <w:jc w:val="both"/>
        <w:rPr>
          <w:sz w:val="24"/>
          <w:szCs w:val="24"/>
        </w:rPr>
      </w:pPr>
      <w:r w:rsidRPr="00E927B0">
        <w:rPr>
          <w:sz w:val="24"/>
          <w:szCs w:val="24"/>
        </w:rPr>
        <w:t xml:space="preserve">Paul, C., Nicholls, R., Priest, P., &amp; McGee, R. (2008) </w:t>
      </w:r>
      <w:r w:rsidR="00FF33CB">
        <w:rPr>
          <w:sz w:val="24"/>
          <w:szCs w:val="24"/>
        </w:rPr>
        <w:t>‘</w:t>
      </w:r>
      <w:r w:rsidRPr="00E927B0">
        <w:rPr>
          <w:sz w:val="24"/>
          <w:szCs w:val="24"/>
        </w:rPr>
        <w:t xml:space="preserve">Making policy decisions about population screening for breast cancer: the role of </w:t>
      </w:r>
      <w:r w:rsidR="00FF33CB">
        <w:rPr>
          <w:sz w:val="24"/>
          <w:szCs w:val="24"/>
        </w:rPr>
        <w:t>citizens’ deliberation’,</w:t>
      </w:r>
      <w:r w:rsidRPr="00E927B0">
        <w:rPr>
          <w:sz w:val="24"/>
          <w:szCs w:val="24"/>
        </w:rPr>
        <w:t> </w:t>
      </w:r>
      <w:r w:rsidRPr="00E927B0">
        <w:rPr>
          <w:i/>
          <w:iCs/>
          <w:sz w:val="24"/>
          <w:szCs w:val="24"/>
        </w:rPr>
        <w:t>Health Policy</w:t>
      </w:r>
      <w:r w:rsidRPr="00E927B0">
        <w:rPr>
          <w:sz w:val="24"/>
          <w:szCs w:val="24"/>
        </w:rPr>
        <w:t>, </w:t>
      </w:r>
      <w:r w:rsidRPr="00E927B0">
        <w:rPr>
          <w:i/>
          <w:iCs/>
          <w:sz w:val="24"/>
          <w:szCs w:val="24"/>
        </w:rPr>
        <w:t>85</w:t>
      </w:r>
      <w:r w:rsidR="00FF33CB">
        <w:rPr>
          <w:sz w:val="24"/>
          <w:szCs w:val="24"/>
        </w:rPr>
        <w:t>(3):</w:t>
      </w:r>
      <w:r w:rsidRPr="00E927B0">
        <w:rPr>
          <w:sz w:val="24"/>
          <w:szCs w:val="24"/>
        </w:rPr>
        <w:t xml:space="preserve"> 314-320.</w:t>
      </w:r>
    </w:p>
    <w:p w:rsidR="00FE37C0" w:rsidRPr="00FE37C0" w:rsidRDefault="00FE37C0" w:rsidP="00FE37C0">
      <w:pPr>
        <w:jc w:val="both"/>
        <w:rPr>
          <w:sz w:val="24"/>
          <w:szCs w:val="24"/>
        </w:rPr>
      </w:pPr>
      <w:r w:rsidRPr="00FE37C0">
        <w:rPr>
          <w:sz w:val="24"/>
          <w:szCs w:val="24"/>
        </w:rPr>
        <w:t>Pomatto, G. (</w:t>
      </w:r>
      <w:r w:rsidRPr="00FE37C0">
        <w:rPr>
          <w:sz w:val="24"/>
          <w:szCs w:val="24"/>
          <w:lang w:val="it-IT"/>
        </w:rPr>
        <w:t>2016</w:t>
      </w:r>
      <w:r w:rsidRPr="00FE37C0">
        <w:rPr>
          <w:sz w:val="24"/>
          <w:szCs w:val="24"/>
        </w:rPr>
        <w:t xml:space="preserve">) ‘Deliberative Mini-Publics: The Best is yet to Come’, </w:t>
      </w:r>
      <w:r w:rsidRPr="00FE37C0">
        <w:rPr>
          <w:i/>
          <w:sz w:val="24"/>
          <w:szCs w:val="24"/>
        </w:rPr>
        <w:t>Representation</w:t>
      </w:r>
      <w:r w:rsidRPr="00FE37C0">
        <w:rPr>
          <w:sz w:val="24"/>
          <w:szCs w:val="24"/>
          <w:lang w:val="it-IT"/>
        </w:rPr>
        <w:t xml:space="preserve"> </w:t>
      </w:r>
      <w:r w:rsidRPr="00FE37C0">
        <w:rPr>
          <w:sz w:val="24"/>
          <w:szCs w:val="24"/>
        </w:rPr>
        <w:t>52(2-3)</w:t>
      </w:r>
      <w:r w:rsidRPr="00FE37C0">
        <w:rPr>
          <w:sz w:val="24"/>
          <w:szCs w:val="24"/>
          <w:lang w:val="it-IT"/>
        </w:rPr>
        <w:t xml:space="preserve">: </w:t>
      </w:r>
      <w:r w:rsidRPr="00FE37C0">
        <w:rPr>
          <w:sz w:val="24"/>
          <w:szCs w:val="24"/>
        </w:rPr>
        <w:t>239-248.</w:t>
      </w:r>
    </w:p>
    <w:p w:rsidR="0052562D" w:rsidRDefault="0052562D" w:rsidP="0052562D">
      <w:pPr>
        <w:jc w:val="both"/>
        <w:rPr>
          <w:sz w:val="24"/>
          <w:szCs w:val="24"/>
        </w:rPr>
      </w:pPr>
      <w:proofErr w:type="spellStart"/>
      <w:r w:rsidRPr="0052562D">
        <w:rPr>
          <w:sz w:val="24"/>
          <w:szCs w:val="24"/>
        </w:rPr>
        <w:t>Raisio</w:t>
      </w:r>
      <w:proofErr w:type="spellEnd"/>
      <w:r w:rsidRPr="0052562D">
        <w:rPr>
          <w:sz w:val="24"/>
          <w:szCs w:val="24"/>
        </w:rPr>
        <w:t xml:space="preserve">, H. (2010) </w:t>
      </w:r>
      <w:r w:rsidR="00422DD9">
        <w:rPr>
          <w:sz w:val="24"/>
          <w:szCs w:val="24"/>
        </w:rPr>
        <w:t>‘</w:t>
      </w:r>
      <w:r w:rsidRPr="0052562D">
        <w:rPr>
          <w:sz w:val="24"/>
          <w:szCs w:val="24"/>
        </w:rPr>
        <w:t>The public as policy expert: Deliberative democracy in the context of Finnish h</w:t>
      </w:r>
      <w:r w:rsidR="00FF33CB">
        <w:rPr>
          <w:sz w:val="24"/>
          <w:szCs w:val="24"/>
        </w:rPr>
        <w:t>ealth care reforms and policies</w:t>
      </w:r>
      <w:r w:rsidR="00422DD9">
        <w:rPr>
          <w:sz w:val="24"/>
          <w:szCs w:val="24"/>
        </w:rPr>
        <w:t>’</w:t>
      </w:r>
      <w:r w:rsidR="00FF33CB">
        <w:rPr>
          <w:sz w:val="24"/>
          <w:szCs w:val="24"/>
        </w:rPr>
        <w:t>,</w:t>
      </w:r>
      <w:r w:rsidRPr="0052562D">
        <w:rPr>
          <w:sz w:val="24"/>
          <w:szCs w:val="24"/>
        </w:rPr>
        <w:t xml:space="preserve"> </w:t>
      </w:r>
      <w:r w:rsidRPr="0052562D">
        <w:rPr>
          <w:i/>
          <w:sz w:val="24"/>
          <w:szCs w:val="24"/>
        </w:rPr>
        <w:t>Journal of Public Deliberation</w:t>
      </w:r>
      <w:r w:rsidRPr="0052562D">
        <w:rPr>
          <w:sz w:val="24"/>
          <w:szCs w:val="24"/>
        </w:rPr>
        <w:t>. 6 (2)</w:t>
      </w:r>
      <w:r w:rsidR="00422DD9">
        <w:rPr>
          <w:sz w:val="24"/>
          <w:szCs w:val="24"/>
        </w:rPr>
        <w:t>.</w:t>
      </w:r>
    </w:p>
    <w:p w:rsidR="00422DD9" w:rsidRPr="00422DD9" w:rsidRDefault="00422DD9" w:rsidP="00422DD9">
      <w:pPr>
        <w:jc w:val="both"/>
        <w:rPr>
          <w:sz w:val="24"/>
          <w:szCs w:val="24"/>
        </w:rPr>
      </w:pPr>
      <w:r w:rsidRPr="00422DD9">
        <w:rPr>
          <w:sz w:val="24"/>
          <w:szCs w:val="24"/>
        </w:rPr>
        <w:t>Renwick, A., Allan, S., Jennings, W., McKee, R., Russell, M. &amp; Smith, G. (2017</w:t>
      </w:r>
      <w:r w:rsidRPr="00422DD9">
        <w:rPr>
          <w:i/>
          <w:sz w:val="24"/>
          <w:szCs w:val="24"/>
        </w:rPr>
        <w:t xml:space="preserve">) A Considered Public Voice on </w:t>
      </w:r>
      <w:proofErr w:type="spellStart"/>
      <w:r w:rsidRPr="00422DD9">
        <w:rPr>
          <w:i/>
          <w:sz w:val="24"/>
          <w:szCs w:val="24"/>
        </w:rPr>
        <w:t>Brexit</w:t>
      </w:r>
      <w:proofErr w:type="spellEnd"/>
      <w:r w:rsidRPr="00422DD9">
        <w:rPr>
          <w:i/>
          <w:sz w:val="24"/>
          <w:szCs w:val="24"/>
        </w:rPr>
        <w:t xml:space="preserve">: The Report of the Citizens' Assembly on </w:t>
      </w:r>
      <w:proofErr w:type="spellStart"/>
      <w:r w:rsidRPr="00422DD9">
        <w:rPr>
          <w:i/>
          <w:sz w:val="24"/>
          <w:szCs w:val="24"/>
        </w:rPr>
        <w:t>Brexit</w:t>
      </w:r>
      <w:proofErr w:type="spellEnd"/>
      <w:r w:rsidRPr="00422DD9">
        <w:rPr>
          <w:sz w:val="24"/>
          <w:szCs w:val="24"/>
        </w:rPr>
        <w:t xml:space="preserve">. London: The Constitution Unit, UCL. </w:t>
      </w:r>
    </w:p>
    <w:p w:rsidR="00422DD9" w:rsidRPr="00422DD9" w:rsidRDefault="00422DD9" w:rsidP="00422DD9">
      <w:pPr>
        <w:jc w:val="both"/>
        <w:rPr>
          <w:sz w:val="24"/>
          <w:szCs w:val="24"/>
        </w:rPr>
      </w:pPr>
      <w:r w:rsidRPr="00422DD9">
        <w:rPr>
          <w:sz w:val="24"/>
          <w:szCs w:val="24"/>
        </w:rPr>
        <w:t xml:space="preserve">Renz, H., </w:t>
      </w:r>
      <w:proofErr w:type="spellStart"/>
      <w:r w:rsidRPr="00422DD9">
        <w:rPr>
          <w:sz w:val="24"/>
          <w:szCs w:val="24"/>
        </w:rPr>
        <w:t>Autenrieth</w:t>
      </w:r>
      <w:proofErr w:type="spellEnd"/>
      <w:r w:rsidRPr="00422DD9">
        <w:rPr>
          <w:sz w:val="24"/>
          <w:szCs w:val="24"/>
        </w:rPr>
        <w:t xml:space="preserve">, I., </w:t>
      </w:r>
      <w:proofErr w:type="spellStart"/>
      <w:r w:rsidRPr="00422DD9">
        <w:rPr>
          <w:sz w:val="24"/>
          <w:szCs w:val="24"/>
        </w:rPr>
        <w:t>Brandtzæg</w:t>
      </w:r>
      <w:proofErr w:type="spellEnd"/>
      <w:r w:rsidRPr="00422DD9">
        <w:rPr>
          <w:sz w:val="24"/>
          <w:szCs w:val="24"/>
        </w:rPr>
        <w:t>, P., Cookson, W., Holgate, S., Vo</w:t>
      </w:r>
      <w:r w:rsidR="00FF33CB">
        <w:rPr>
          <w:sz w:val="24"/>
          <w:szCs w:val="24"/>
        </w:rPr>
        <w:t xml:space="preserve">n </w:t>
      </w:r>
      <w:proofErr w:type="spellStart"/>
      <w:r w:rsidR="00FF33CB">
        <w:rPr>
          <w:sz w:val="24"/>
          <w:szCs w:val="24"/>
        </w:rPr>
        <w:t>Mutius</w:t>
      </w:r>
      <w:proofErr w:type="spellEnd"/>
      <w:r w:rsidR="00FF33CB">
        <w:rPr>
          <w:sz w:val="24"/>
          <w:szCs w:val="24"/>
        </w:rPr>
        <w:t>, E., Haller, D. (2011)</w:t>
      </w:r>
      <w:r w:rsidRPr="00422DD9">
        <w:rPr>
          <w:sz w:val="24"/>
          <w:szCs w:val="24"/>
        </w:rPr>
        <w:t xml:space="preserve"> </w:t>
      </w:r>
      <w:r>
        <w:rPr>
          <w:sz w:val="24"/>
          <w:szCs w:val="24"/>
        </w:rPr>
        <w:t>‘</w:t>
      </w:r>
      <w:r w:rsidRPr="00422DD9">
        <w:rPr>
          <w:sz w:val="24"/>
          <w:szCs w:val="24"/>
        </w:rPr>
        <w:t>Gene-environment interaction in chronic disease: A European Science Foundation Forward Look</w:t>
      </w:r>
      <w:r>
        <w:rPr>
          <w:sz w:val="24"/>
          <w:szCs w:val="24"/>
        </w:rPr>
        <w:t>’</w:t>
      </w:r>
      <w:r w:rsidR="00FF33CB">
        <w:rPr>
          <w:sz w:val="24"/>
          <w:szCs w:val="24"/>
        </w:rPr>
        <w:t>,</w:t>
      </w:r>
      <w:r w:rsidRPr="00422DD9">
        <w:rPr>
          <w:sz w:val="24"/>
          <w:szCs w:val="24"/>
        </w:rPr>
        <w:t xml:space="preserve"> </w:t>
      </w:r>
      <w:r w:rsidRPr="00422DD9">
        <w:rPr>
          <w:i/>
          <w:sz w:val="24"/>
          <w:szCs w:val="24"/>
        </w:rPr>
        <w:t>Journal of Allergy and Clinical Immunology</w:t>
      </w:r>
      <w:r>
        <w:rPr>
          <w:sz w:val="24"/>
          <w:szCs w:val="24"/>
        </w:rPr>
        <w:t>, 128(6):</w:t>
      </w:r>
      <w:r w:rsidRPr="00422DD9">
        <w:rPr>
          <w:sz w:val="24"/>
          <w:szCs w:val="24"/>
        </w:rPr>
        <w:t xml:space="preserve"> S27-S49.</w:t>
      </w:r>
      <w:r w:rsidRPr="00422DD9">
        <w:rPr>
          <w:sz w:val="24"/>
          <w:szCs w:val="24"/>
        </w:rPr>
        <w:tab/>
      </w:r>
    </w:p>
    <w:p w:rsidR="00422DD9" w:rsidRPr="00422DD9" w:rsidRDefault="00422DD9" w:rsidP="00422DD9">
      <w:pPr>
        <w:jc w:val="both"/>
        <w:rPr>
          <w:sz w:val="24"/>
          <w:szCs w:val="24"/>
        </w:rPr>
      </w:pPr>
      <w:r w:rsidRPr="00422DD9">
        <w:rPr>
          <w:sz w:val="24"/>
          <w:szCs w:val="24"/>
        </w:rPr>
        <w:t xml:space="preserve">Revel, M. (2012) </w:t>
      </w:r>
      <w:r>
        <w:rPr>
          <w:sz w:val="24"/>
          <w:szCs w:val="24"/>
        </w:rPr>
        <w:t>‘</w:t>
      </w:r>
      <w:r w:rsidRPr="00422DD9">
        <w:rPr>
          <w:sz w:val="24"/>
          <w:szCs w:val="24"/>
        </w:rPr>
        <w:t>Bred or Wild Participation?</w:t>
      </w:r>
      <w:r>
        <w:rPr>
          <w:sz w:val="24"/>
          <w:szCs w:val="24"/>
        </w:rPr>
        <w:t>’</w:t>
      </w:r>
      <w:r w:rsidRPr="00422DD9">
        <w:rPr>
          <w:sz w:val="24"/>
          <w:szCs w:val="24"/>
        </w:rPr>
        <w:t xml:space="preserve"> </w:t>
      </w:r>
      <w:proofErr w:type="spellStart"/>
      <w:r w:rsidRPr="00422DD9">
        <w:rPr>
          <w:i/>
          <w:sz w:val="24"/>
          <w:szCs w:val="24"/>
        </w:rPr>
        <w:t>Przeglad</w:t>
      </w:r>
      <w:proofErr w:type="spellEnd"/>
      <w:r w:rsidRPr="00422DD9">
        <w:rPr>
          <w:i/>
          <w:sz w:val="24"/>
          <w:szCs w:val="24"/>
        </w:rPr>
        <w:t xml:space="preserve"> </w:t>
      </w:r>
      <w:proofErr w:type="spellStart"/>
      <w:r w:rsidRPr="00422DD9">
        <w:rPr>
          <w:i/>
          <w:sz w:val="24"/>
          <w:szCs w:val="24"/>
        </w:rPr>
        <w:t>Socjologiczny</w:t>
      </w:r>
      <w:proofErr w:type="spellEnd"/>
      <w:r>
        <w:rPr>
          <w:sz w:val="24"/>
          <w:szCs w:val="24"/>
        </w:rPr>
        <w:t>, 61(4):</w:t>
      </w:r>
      <w:r w:rsidRPr="00422DD9">
        <w:rPr>
          <w:sz w:val="24"/>
          <w:szCs w:val="24"/>
        </w:rPr>
        <w:t xml:space="preserve"> 173-193.</w:t>
      </w:r>
    </w:p>
    <w:p w:rsidR="00422DD9" w:rsidRPr="00422DD9" w:rsidRDefault="00422DD9" w:rsidP="00422DD9">
      <w:pPr>
        <w:jc w:val="both"/>
        <w:rPr>
          <w:sz w:val="24"/>
          <w:szCs w:val="24"/>
        </w:rPr>
      </w:pPr>
      <w:bookmarkStart w:id="8" w:name="_Hlk517854997"/>
      <w:r w:rsidRPr="00422DD9">
        <w:rPr>
          <w:sz w:val="24"/>
          <w:szCs w:val="24"/>
        </w:rPr>
        <w:t>Rey, O</w:t>
      </w:r>
      <w:r w:rsidR="001F6178">
        <w:rPr>
          <w:sz w:val="24"/>
          <w:szCs w:val="24"/>
        </w:rPr>
        <w:t>.</w:t>
      </w:r>
      <w:r w:rsidR="00FF33CB">
        <w:rPr>
          <w:sz w:val="24"/>
          <w:szCs w:val="24"/>
        </w:rPr>
        <w:t xml:space="preserve">, &amp; </w:t>
      </w:r>
      <w:proofErr w:type="spellStart"/>
      <w:r w:rsidR="00FF33CB">
        <w:rPr>
          <w:sz w:val="24"/>
          <w:szCs w:val="24"/>
        </w:rPr>
        <w:t>Gaussel</w:t>
      </w:r>
      <w:proofErr w:type="spellEnd"/>
      <w:r w:rsidR="00FF33CB">
        <w:rPr>
          <w:sz w:val="24"/>
          <w:szCs w:val="24"/>
        </w:rPr>
        <w:t>, M. (2016)</w:t>
      </w:r>
      <w:r w:rsidRPr="00422DD9">
        <w:rPr>
          <w:sz w:val="24"/>
          <w:szCs w:val="24"/>
        </w:rPr>
        <w:t xml:space="preserve"> </w:t>
      </w:r>
      <w:r>
        <w:rPr>
          <w:sz w:val="24"/>
          <w:szCs w:val="24"/>
        </w:rPr>
        <w:t>‘</w:t>
      </w:r>
      <w:r w:rsidRPr="00422DD9">
        <w:rPr>
          <w:sz w:val="24"/>
          <w:szCs w:val="24"/>
        </w:rPr>
        <w:t>The Conditions for the Successful Use of Research Results by Teachers: Reflections on Some Innovations in France</w:t>
      </w:r>
      <w:r w:rsidRPr="00422DD9">
        <w:rPr>
          <w:i/>
          <w:sz w:val="24"/>
          <w:szCs w:val="24"/>
        </w:rPr>
        <w:t>.</w:t>
      </w:r>
      <w:r>
        <w:rPr>
          <w:i/>
          <w:sz w:val="24"/>
          <w:szCs w:val="24"/>
        </w:rPr>
        <w:t>’</w:t>
      </w:r>
      <w:r w:rsidRPr="00422DD9">
        <w:rPr>
          <w:i/>
          <w:sz w:val="24"/>
          <w:szCs w:val="24"/>
        </w:rPr>
        <w:t xml:space="preserve"> European Journal of Teacher Education</w:t>
      </w:r>
      <w:r w:rsidRPr="00422DD9">
        <w:rPr>
          <w:sz w:val="24"/>
          <w:szCs w:val="24"/>
        </w:rPr>
        <w:t>, 39(5)</w:t>
      </w:r>
      <w:r>
        <w:rPr>
          <w:sz w:val="24"/>
          <w:szCs w:val="24"/>
        </w:rPr>
        <w:t>:</w:t>
      </w:r>
      <w:r w:rsidRPr="00422DD9">
        <w:rPr>
          <w:sz w:val="24"/>
          <w:szCs w:val="24"/>
        </w:rPr>
        <w:t xml:space="preserve"> 577-587.</w:t>
      </w:r>
    </w:p>
    <w:bookmarkEnd w:id="8"/>
    <w:p w:rsidR="00422DD9" w:rsidRDefault="00422DD9" w:rsidP="00422DD9">
      <w:pPr>
        <w:jc w:val="both"/>
        <w:rPr>
          <w:sz w:val="24"/>
          <w:szCs w:val="24"/>
        </w:rPr>
      </w:pPr>
      <w:r w:rsidRPr="00422DD9">
        <w:rPr>
          <w:sz w:val="24"/>
          <w:szCs w:val="24"/>
        </w:rPr>
        <w:t xml:space="preserve">Roberts, J. and Escobar, O. (2015) </w:t>
      </w:r>
      <w:r w:rsidRPr="00422DD9">
        <w:rPr>
          <w:i/>
          <w:sz w:val="24"/>
          <w:szCs w:val="24"/>
        </w:rPr>
        <w:t>Involving communities in deliberation: A study of three citizens’ juries on onshore wind farms in Scotland.</w:t>
      </w:r>
      <w:r w:rsidRPr="00422DD9">
        <w:rPr>
          <w:sz w:val="24"/>
          <w:szCs w:val="24"/>
        </w:rPr>
        <w:t xml:space="preserve"> Edinburgh: </w:t>
      </w:r>
      <w:proofErr w:type="spellStart"/>
      <w:r w:rsidRPr="00422DD9">
        <w:rPr>
          <w:sz w:val="24"/>
          <w:szCs w:val="24"/>
        </w:rPr>
        <w:t>ClimateXChange</w:t>
      </w:r>
      <w:proofErr w:type="spellEnd"/>
      <w:r w:rsidRPr="00422DD9">
        <w:rPr>
          <w:sz w:val="24"/>
          <w:szCs w:val="24"/>
        </w:rPr>
        <w:t>.</w:t>
      </w:r>
    </w:p>
    <w:p w:rsidR="003D1CB8" w:rsidRPr="00422DD9" w:rsidRDefault="003D1CB8" w:rsidP="00422DD9">
      <w:pPr>
        <w:jc w:val="both"/>
        <w:rPr>
          <w:sz w:val="24"/>
          <w:szCs w:val="24"/>
        </w:rPr>
      </w:pPr>
      <w:r>
        <w:rPr>
          <w:sz w:val="24"/>
          <w:szCs w:val="24"/>
        </w:rPr>
        <w:t xml:space="preserve">Roberts, J. and Lightbody, R. (2017) ‘The role of witnesses in deliberative processes.’ </w:t>
      </w:r>
      <w:r w:rsidRPr="003D1CB8">
        <w:rPr>
          <w:i/>
          <w:sz w:val="24"/>
          <w:szCs w:val="24"/>
        </w:rPr>
        <w:t>Pa</w:t>
      </w:r>
      <w:r>
        <w:rPr>
          <w:i/>
          <w:sz w:val="24"/>
          <w:szCs w:val="24"/>
        </w:rPr>
        <w:t>per presented at the Political S</w:t>
      </w:r>
      <w:r w:rsidRPr="003D1CB8">
        <w:rPr>
          <w:i/>
          <w:sz w:val="24"/>
          <w:szCs w:val="24"/>
        </w:rPr>
        <w:t>tudies Association of the UK Annual Conference</w:t>
      </w:r>
      <w:r w:rsidRPr="003D1CB8">
        <w:rPr>
          <w:sz w:val="24"/>
          <w:szCs w:val="24"/>
        </w:rPr>
        <w:t xml:space="preserve">, </w:t>
      </w:r>
      <w:r>
        <w:rPr>
          <w:sz w:val="24"/>
          <w:szCs w:val="24"/>
        </w:rPr>
        <w:t>Glasgow</w:t>
      </w:r>
      <w:r w:rsidRPr="003D1CB8">
        <w:rPr>
          <w:sz w:val="24"/>
          <w:szCs w:val="24"/>
        </w:rPr>
        <w:t>, April.</w:t>
      </w:r>
    </w:p>
    <w:p w:rsidR="00422DD9" w:rsidRDefault="00422DD9" w:rsidP="00422DD9">
      <w:pPr>
        <w:jc w:val="both"/>
        <w:rPr>
          <w:sz w:val="24"/>
          <w:szCs w:val="24"/>
        </w:rPr>
      </w:pPr>
      <w:r w:rsidRPr="00422DD9">
        <w:rPr>
          <w:sz w:val="24"/>
          <w:szCs w:val="24"/>
        </w:rPr>
        <w:t xml:space="preserve">Rogers-Hayden; T. &amp; Pidgeon, N. (2006) Reflecting upon the UK's Citizens' Jury on Nanotechnologies: </w:t>
      </w:r>
      <w:proofErr w:type="spellStart"/>
      <w:r w:rsidRPr="00422DD9">
        <w:rPr>
          <w:sz w:val="24"/>
          <w:szCs w:val="24"/>
        </w:rPr>
        <w:t>NanoJury</w:t>
      </w:r>
      <w:proofErr w:type="spellEnd"/>
      <w:r w:rsidRPr="00422DD9">
        <w:rPr>
          <w:sz w:val="24"/>
          <w:szCs w:val="24"/>
        </w:rPr>
        <w:t xml:space="preserve"> UK. </w:t>
      </w:r>
      <w:r w:rsidRPr="00422DD9">
        <w:rPr>
          <w:i/>
          <w:sz w:val="24"/>
          <w:szCs w:val="24"/>
        </w:rPr>
        <w:t>Nanotechnology Law &amp; Business</w:t>
      </w:r>
      <w:r>
        <w:rPr>
          <w:sz w:val="24"/>
          <w:szCs w:val="24"/>
        </w:rPr>
        <w:t xml:space="preserve">: </w:t>
      </w:r>
      <w:r w:rsidRPr="00422DD9">
        <w:rPr>
          <w:sz w:val="24"/>
          <w:szCs w:val="24"/>
        </w:rPr>
        <w:t>167 – 178.</w:t>
      </w:r>
    </w:p>
    <w:p w:rsidR="00BE31F8" w:rsidRPr="00BE31F8" w:rsidRDefault="00BE31F8" w:rsidP="00BE31F8">
      <w:pPr>
        <w:jc w:val="both"/>
        <w:rPr>
          <w:sz w:val="24"/>
          <w:szCs w:val="24"/>
        </w:rPr>
      </w:pPr>
      <w:proofErr w:type="spellStart"/>
      <w:r w:rsidRPr="00BE31F8">
        <w:rPr>
          <w:sz w:val="24"/>
          <w:szCs w:val="24"/>
        </w:rPr>
        <w:t>Rychetnik</w:t>
      </w:r>
      <w:proofErr w:type="spellEnd"/>
      <w:r w:rsidRPr="00BE31F8">
        <w:rPr>
          <w:sz w:val="24"/>
          <w:szCs w:val="24"/>
        </w:rPr>
        <w:t xml:space="preserve">, L.,. Carter, S. M., Abelson, J., Thornton, H., Barratt, A., </w:t>
      </w:r>
      <w:proofErr w:type="spellStart"/>
      <w:r w:rsidRPr="00BE31F8">
        <w:rPr>
          <w:sz w:val="24"/>
          <w:szCs w:val="24"/>
        </w:rPr>
        <w:t>Entwistle</w:t>
      </w:r>
      <w:proofErr w:type="spellEnd"/>
      <w:r w:rsidRPr="00BE31F8">
        <w:rPr>
          <w:sz w:val="24"/>
          <w:szCs w:val="24"/>
        </w:rPr>
        <w:t xml:space="preserve">, V. A., Mackenzie, G., </w:t>
      </w:r>
      <w:proofErr w:type="spellStart"/>
      <w:r w:rsidRPr="00BE31F8">
        <w:rPr>
          <w:sz w:val="24"/>
          <w:szCs w:val="24"/>
        </w:rPr>
        <w:t>Salkeld</w:t>
      </w:r>
      <w:proofErr w:type="spellEnd"/>
      <w:r w:rsidRPr="00BE31F8">
        <w:rPr>
          <w:sz w:val="24"/>
          <w:szCs w:val="24"/>
        </w:rPr>
        <w:t xml:space="preserve">, G.. &amp; </w:t>
      </w:r>
      <w:proofErr w:type="spellStart"/>
      <w:r w:rsidRPr="00BE31F8">
        <w:rPr>
          <w:sz w:val="24"/>
          <w:szCs w:val="24"/>
        </w:rPr>
        <w:t>Glasziou</w:t>
      </w:r>
      <w:proofErr w:type="spellEnd"/>
      <w:r w:rsidRPr="00BE31F8">
        <w:rPr>
          <w:sz w:val="24"/>
          <w:szCs w:val="24"/>
        </w:rPr>
        <w:t xml:space="preserve">, P. (2013) ‘Enhancing citizen engagement in cancer screening through deliberative democracy’, </w:t>
      </w:r>
      <w:r w:rsidRPr="00BE31F8">
        <w:rPr>
          <w:i/>
          <w:iCs/>
          <w:sz w:val="24"/>
          <w:szCs w:val="24"/>
        </w:rPr>
        <w:t>Journal of the National Cancer Institute</w:t>
      </w:r>
      <w:r>
        <w:rPr>
          <w:i/>
          <w:iCs/>
          <w:sz w:val="24"/>
          <w:szCs w:val="24"/>
        </w:rPr>
        <w:t>:</w:t>
      </w:r>
      <w:r w:rsidRPr="00BE31F8">
        <w:rPr>
          <w:sz w:val="24"/>
          <w:szCs w:val="24"/>
        </w:rPr>
        <w:t xml:space="preserve"> 380–386.</w:t>
      </w:r>
    </w:p>
    <w:p w:rsidR="008D73B0" w:rsidRPr="008D73B0" w:rsidRDefault="008D73B0" w:rsidP="008D73B0">
      <w:pPr>
        <w:jc w:val="both"/>
        <w:rPr>
          <w:sz w:val="24"/>
          <w:szCs w:val="24"/>
        </w:rPr>
      </w:pPr>
      <w:r w:rsidRPr="008D73B0">
        <w:rPr>
          <w:sz w:val="24"/>
          <w:szCs w:val="24"/>
        </w:rPr>
        <w:t>Salmon-</w:t>
      </w:r>
      <w:proofErr w:type="spellStart"/>
      <w:r w:rsidRPr="008D73B0">
        <w:rPr>
          <w:sz w:val="24"/>
          <w:szCs w:val="24"/>
        </w:rPr>
        <w:t>Ceron</w:t>
      </w:r>
      <w:proofErr w:type="spellEnd"/>
      <w:r w:rsidRPr="008D73B0">
        <w:rPr>
          <w:sz w:val="24"/>
          <w:szCs w:val="24"/>
        </w:rPr>
        <w:t xml:space="preserve">, D., Cohen, J., </w:t>
      </w:r>
      <w:proofErr w:type="spellStart"/>
      <w:r w:rsidRPr="008D73B0">
        <w:rPr>
          <w:sz w:val="24"/>
          <w:szCs w:val="24"/>
        </w:rPr>
        <w:t>Winnock</w:t>
      </w:r>
      <w:proofErr w:type="spellEnd"/>
      <w:r w:rsidRPr="008D73B0">
        <w:rPr>
          <w:sz w:val="24"/>
          <w:szCs w:val="24"/>
        </w:rPr>
        <w:t xml:space="preserve">, M., Roux, P., Sadr, F.B., Rosenthal, E.  &amp; </w:t>
      </w:r>
      <w:proofErr w:type="spellStart"/>
      <w:r w:rsidRPr="008D73B0">
        <w:rPr>
          <w:sz w:val="24"/>
          <w:szCs w:val="24"/>
        </w:rPr>
        <w:t>Carrieri</w:t>
      </w:r>
      <w:proofErr w:type="spellEnd"/>
      <w:r w:rsidRPr="008D73B0">
        <w:rPr>
          <w:sz w:val="24"/>
          <w:szCs w:val="24"/>
        </w:rPr>
        <w:t xml:space="preserve">, M.P. (2012) </w:t>
      </w:r>
      <w:r>
        <w:rPr>
          <w:sz w:val="24"/>
          <w:szCs w:val="24"/>
        </w:rPr>
        <w:t>‘</w:t>
      </w:r>
      <w:r w:rsidRPr="008D73B0">
        <w:rPr>
          <w:sz w:val="24"/>
          <w:szCs w:val="24"/>
        </w:rPr>
        <w:t>Engaging HIV-HCV co-infected patients in HCV treatment: The roles played by the prescribing physician and patients' beliefs (ANRS CO13 HEPAVIH cohort, France).</w:t>
      </w:r>
      <w:r>
        <w:rPr>
          <w:sz w:val="24"/>
          <w:szCs w:val="24"/>
        </w:rPr>
        <w:t>’</w:t>
      </w:r>
      <w:r w:rsidRPr="008D73B0">
        <w:rPr>
          <w:sz w:val="24"/>
          <w:szCs w:val="24"/>
        </w:rPr>
        <w:t xml:space="preserve"> </w:t>
      </w:r>
      <w:r w:rsidRPr="008D73B0">
        <w:rPr>
          <w:i/>
          <w:sz w:val="24"/>
          <w:szCs w:val="24"/>
        </w:rPr>
        <w:t>BMC Health Services Research</w:t>
      </w:r>
      <w:r w:rsidRPr="008D73B0">
        <w:rPr>
          <w:sz w:val="24"/>
          <w:szCs w:val="24"/>
        </w:rPr>
        <w:t>, 12, 59.</w:t>
      </w:r>
    </w:p>
    <w:p w:rsidR="008D73B0" w:rsidRPr="008D73B0" w:rsidRDefault="008D73B0" w:rsidP="008D73B0">
      <w:pPr>
        <w:jc w:val="both"/>
        <w:rPr>
          <w:sz w:val="24"/>
          <w:szCs w:val="24"/>
        </w:rPr>
      </w:pPr>
      <w:r w:rsidRPr="008D73B0">
        <w:rPr>
          <w:sz w:val="24"/>
          <w:szCs w:val="24"/>
        </w:rPr>
        <w:lastRenderedPageBreak/>
        <w:t xml:space="preserve">Shared Futures (2017) </w:t>
      </w:r>
      <w:r w:rsidRPr="008D73B0">
        <w:rPr>
          <w:i/>
          <w:sz w:val="24"/>
          <w:szCs w:val="24"/>
        </w:rPr>
        <w:t xml:space="preserve">Citizens Jury Literature Review: Our Voice Citizens Jury Realistic medicine. </w:t>
      </w:r>
      <w:r w:rsidRPr="008D73B0">
        <w:rPr>
          <w:sz w:val="24"/>
          <w:szCs w:val="24"/>
        </w:rPr>
        <w:t xml:space="preserve">Manchester: Shared Future. </w:t>
      </w:r>
    </w:p>
    <w:p w:rsidR="008D73B0" w:rsidRPr="008D73B0" w:rsidRDefault="008D73B0" w:rsidP="008D73B0">
      <w:pPr>
        <w:jc w:val="both"/>
        <w:rPr>
          <w:sz w:val="24"/>
          <w:szCs w:val="24"/>
        </w:rPr>
      </w:pPr>
      <w:proofErr w:type="spellStart"/>
      <w:r w:rsidRPr="008D73B0">
        <w:rPr>
          <w:sz w:val="24"/>
          <w:szCs w:val="24"/>
        </w:rPr>
        <w:t>Shkabatur</w:t>
      </w:r>
      <w:proofErr w:type="spellEnd"/>
      <w:r w:rsidRPr="008D73B0">
        <w:rPr>
          <w:sz w:val="24"/>
          <w:szCs w:val="24"/>
        </w:rPr>
        <w:t xml:space="preserve">, J. (2010) </w:t>
      </w:r>
      <w:r w:rsidR="00FF33CB">
        <w:rPr>
          <w:sz w:val="24"/>
          <w:szCs w:val="24"/>
        </w:rPr>
        <w:t>‘</w:t>
      </w:r>
      <w:r w:rsidRPr="008D73B0">
        <w:rPr>
          <w:sz w:val="24"/>
          <w:szCs w:val="24"/>
        </w:rPr>
        <w:t xml:space="preserve">Participatory </w:t>
      </w:r>
      <w:r w:rsidR="00FF33CB">
        <w:rPr>
          <w:sz w:val="24"/>
          <w:szCs w:val="24"/>
        </w:rPr>
        <w:t>Budgeting in Berlin-Lichtenberg’,</w:t>
      </w:r>
      <w:r w:rsidRPr="008D73B0">
        <w:rPr>
          <w:i/>
          <w:sz w:val="24"/>
          <w:szCs w:val="24"/>
        </w:rPr>
        <w:t xml:space="preserve"> </w:t>
      </w:r>
      <w:proofErr w:type="spellStart"/>
      <w:r w:rsidRPr="008D73B0">
        <w:rPr>
          <w:i/>
          <w:sz w:val="24"/>
          <w:szCs w:val="24"/>
        </w:rPr>
        <w:t>Participedia</w:t>
      </w:r>
      <w:proofErr w:type="spellEnd"/>
      <w:r w:rsidRPr="008D73B0">
        <w:rPr>
          <w:sz w:val="24"/>
          <w:szCs w:val="24"/>
        </w:rPr>
        <w:t>. Available online: https://participedia.net/en/cases/participatory-budgeting-berlin-lichtenberg.</w:t>
      </w:r>
    </w:p>
    <w:p w:rsidR="008D73B0" w:rsidRDefault="008D73B0" w:rsidP="008D73B0">
      <w:pPr>
        <w:jc w:val="both"/>
        <w:rPr>
          <w:sz w:val="24"/>
          <w:szCs w:val="24"/>
        </w:rPr>
      </w:pPr>
      <w:proofErr w:type="spellStart"/>
      <w:r w:rsidRPr="008D73B0">
        <w:rPr>
          <w:sz w:val="24"/>
          <w:szCs w:val="24"/>
        </w:rPr>
        <w:t>Sozialistische</w:t>
      </w:r>
      <w:proofErr w:type="spellEnd"/>
      <w:r w:rsidRPr="008D73B0">
        <w:rPr>
          <w:sz w:val="24"/>
          <w:szCs w:val="24"/>
        </w:rPr>
        <w:t xml:space="preserve"> Tageszeitung (2009) </w:t>
      </w:r>
      <w:r w:rsidR="00FF33CB">
        <w:rPr>
          <w:sz w:val="24"/>
          <w:szCs w:val="24"/>
        </w:rPr>
        <w:t>‘</w:t>
      </w:r>
      <w:r w:rsidRPr="008D73B0">
        <w:rPr>
          <w:sz w:val="24"/>
          <w:szCs w:val="24"/>
        </w:rPr>
        <w:t>With the citizens' budget through the country,</w:t>
      </w:r>
      <w:r w:rsidR="00FF33CB">
        <w:rPr>
          <w:sz w:val="24"/>
          <w:szCs w:val="24"/>
        </w:rPr>
        <w:t>’</w:t>
      </w:r>
      <w:r w:rsidRPr="008D73B0">
        <w:rPr>
          <w:sz w:val="24"/>
          <w:szCs w:val="24"/>
        </w:rPr>
        <w:t xml:space="preserve"> Available online: </w:t>
      </w:r>
      <w:hyperlink r:id="rId14" w:history="1">
        <w:r w:rsidR="0045581F" w:rsidRPr="00414959">
          <w:rPr>
            <w:rStyle w:val="Hyperlink"/>
            <w:sz w:val="24"/>
            <w:szCs w:val="24"/>
          </w:rPr>
          <w:t>https://www.neues-deutschland.de/artikel/160457.mit-dem-buergeretat-durch-die-lande.html</w:t>
        </w:r>
      </w:hyperlink>
    </w:p>
    <w:p w:rsidR="0045581F" w:rsidRDefault="0045581F" w:rsidP="008D73B0">
      <w:pPr>
        <w:jc w:val="both"/>
        <w:rPr>
          <w:sz w:val="24"/>
          <w:szCs w:val="24"/>
        </w:rPr>
      </w:pPr>
      <w:r>
        <w:rPr>
          <w:sz w:val="24"/>
          <w:szCs w:val="24"/>
        </w:rPr>
        <w:t xml:space="preserve">Street, J., </w:t>
      </w:r>
      <w:proofErr w:type="spellStart"/>
      <w:r>
        <w:rPr>
          <w:sz w:val="24"/>
          <w:szCs w:val="24"/>
        </w:rPr>
        <w:t>Duszynski</w:t>
      </w:r>
      <w:proofErr w:type="spellEnd"/>
      <w:r>
        <w:rPr>
          <w:sz w:val="24"/>
          <w:szCs w:val="24"/>
        </w:rPr>
        <w:t xml:space="preserve">, K., </w:t>
      </w:r>
      <w:proofErr w:type="spellStart"/>
      <w:r>
        <w:rPr>
          <w:sz w:val="24"/>
          <w:szCs w:val="24"/>
        </w:rPr>
        <w:t>Krawczyk</w:t>
      </w:r>
      <w:proofErr w:type="spellEnd"/>
      <w:r>
        <w:rPr>
          <w:sz w:val="24"/>
          <w:szCs w:val="24"/>
        </w:rPr>
        <w:t>, S.</w:t>
      </w:r>
      <w:r w:rsidR="00FF33CB">
        <w:rPr>
          <w:sz w:val="24"/>
          <w:szCs w:val="24"/>
        </w:rPr>
        <w:t xml:space="preserve">, and </w:t>
      </w:r>
      <w:proofErr w:type="spellStart"/>
      <w:r w:rsidR="00FF33CB">
        <w:rPr>
          <w:sz w:val="24"/>
          <w:szCs w:val="24"/>
        </w:rPr>
        <w:t>Braunack</w:t>
      </w:r>
      <w:proofErr w:type="spellEnd"/>
      <w:r w:rsidR="00FF33CB">
        <w:rPr>
          <w:sz w:val="24"/>
          <w:szCs w:val="24"/>
        </w:rPr>
        <w:t>-Mayer, A. (2014)</w:t>
      </w:r>
      <w:r>
        <w:rPr>
          <w:sz w:val="24"/>
          <w:szCs w:val="24"/>
        </w:rPr>
        <w:t xml:space="preserve"> ‘The use of citizens’ juries in health policy decision-making: A systematic review, </w:t>
      </w:r>
      <w:r>
        <w:rPr>
          <w:i/>
          <w:sz w:val="24"/>
          <w:szCs w:val="24"/>
        </w:rPr>
        <w:t>Social Science &amp; Medicine</w:t>
      </w:r>
      <w:r>
        <w:rPr>
          <w:sz w:val="24"/>
          <w:szCs w:val="24"/>
        </w:rPr>
        <w:t>, 109: 1-9.</w:t>
      </w:r>
    </w:p>
    <w:p w:rsidR="007468BA" w:rsidRPr="0045581F" w:rsidRDefault="007468BA" w:rsidP="008D73B0">
      <w:pPr>
        <w:jc w:val="both"/>
        <w:rPr>
          <w:sz w:val="24"/>
          <w:szCs w:val="24"/>
        </w:rPr>
      </w:pPr>
      <w:r>
        <w:rPr>
          <w:sz w:val="24"/>
          <w:szCs w:val="24"/>
        </w:rPr>
        <w:t xml:space="preserve">Thompson, A. Elstub, S., </w:t>
      </w:r>
      <w:r w:rsidR="00FF33CB">
        <w:rPr>
          <w:sz w:val="24"/>
          <w:szCs w:val="24"/>
        </w:rPr>
        <w:t xml:space="preserve">Escobar, E., </w:t>
      </w:r>
      <w:proofErr w:type="spellStart"/>
      <w:r w:rsidR="00FF33CB" w:rsidRPr="00850633">
        <w:t>Pamphilis</w:t>
      </w:r>
      <w:proofErr w:type="spellEnd"/>
      <w:r w:rsidR="00FF33CB">
        <w:t>,</w:t>
      </w:r>
      <w:r w:rsidR="00FF33CB" w:rsidRPr="00850633">
        <w:t xml:space="preserve"> N</w:t>
      </w:r>
      <w:r w:rsidR="00FF33CB">
        <w:t>., and</w:t>
      </w:r>
      <w:r w:rsidR="00FF33CB">
        <w:rPr>
          <w:sz w:val="24"/>
          <w:szCs w:val="24"/>
        </w:rPr>
        <w:t xml:space="preserve"> Roberts, J. (2015)</w:t>
      </w:r>
      <w:r>
        <w:rPr>
          <w:sz w:val="24"/>
          <w:szCs w:val="24"/>
        </w:rPr>
        <w:t xml:space="preserve"> ‘</w:t>
      </w:r>
      <w:r w:rsidRPr="007468BA">
        <w:rPr>
          <w:sz w:val="24"/>
          <w:szCs w:val="24"/>
        </w:rPr>
        <w:t xml:space="preserve">Why do people change their minds?  Evidence from 3 citizens’ juries deliberating </w:t>
      </w:r>
      <w:r>
        <w:rPr>
          <w:sz w:val="24"/>
          <w:szCs w:val="24"/>
        </w:rPr>
        <w:t xml:space="preserve">on-shore wind farms in Scotland.’ </w:t>
      </w:r>
      <w:r w:rsidRPr="007468BA">
        <w:rPr>
          <w:i/>
          <w:sz w:val="24"/>
          <w:szCs w:val="24"/>
        </w:rPr>
        <w:t>Pa</w:t>
      </w:r>
      <w:r w:rsidR="003D1CB8">
        <w:rPr>
          <w:i/>
          <w:sz w:val="24"/>
          <w:szCs w:val="24"/>
        </w:rPr>
        <w:t>per presented at the Political S</w:t>
      </w:r>
      <w:r w:rsidRPr="007468BA">
        <w:rPr>
          <w:i/>
          <w:sz w:val="24"/>
          <w:szCs w:val="24"/>
        </w:rPr>
        <w:t>tudies Association of the UK Annual Conference</w:t>
      </w:r>
      <w:r>
        <w:rPr>
          <w:sz w:val="24"/>
          <w:szCs w:val="24"/>
        </w:rPr>
        <w:t>, Sheffield, April.</w:t>
      </w:r>
    </w:p>
    <w:p w:rsidR="00B63FCB" w:rsidRDefault="0092693A" w:rsidP="0092693A">
      <w:pPr>
        <w:jc w:val="both"/>
        <w:rPr>
          <w:sz w:val="24"/>
          <w:szCs w:val="24"/>
        </w:rPr>
      </w:pPr>
      <w:r w:rsidRPr="0092693A">
        <w:rPr>
          <w:sz w:val="24"/>
          <w:szCs w:val="24"/>
        </w:rPr>
        <w:fldChar w:fldCharType="begin" w:fldLock="1"/>
      </w:r>
      <w:r w:rsidRPr="0092693A">
        <w:rPr>
          <w:sz w:val="24"/>
          <w:szCs w:val="24"/>
        </w:rPr>
        <w:instrText xml:space="preserve">ADDIN Mendeley Bibliography CSL_BIBLIOGRAPHY </w:instrText>
      </w:r>
      <w:r w:rsidRPr="0092693A">
        <w:rPr>
          <w:sz w:val="24"/>
          <w:szCs w:val="24"/>
        </w:rPr>
        <w:fldChar w:fldCharType="separate"/>
      </w:r>
      <w:r w:rsidRPr="0092693A">
        <w:rPr>
          <w:sz w:val="24"/>
          <w:szCs w:val="24"/>
        </w:rPr>
        <w:t xml:space="preserve">Tucker, A. </w:t>
      </w:r>
      <w:r w:rsidR="001941F5">
        <w:rPr>
          <w:sz w:val="24"/>
          <w:szCs w:val="24"/>
        </w:rPr>
        <w:t>(</w:t>
      </w:r>
      <w:r w:rsidRPr="0092693A">
        <w:rPr>
          <w:sz w:val="24"/>
          <w:szCs w:val="24"/>
        </w:rPr>
        <w:t>2008</w:t>
      </w:r>
      <w:r w:rsidR="001941F5">
        <w:rPr>
          <w:sz w:val="24"/>
          <w:szCs w:val="24"/>
        </w:rPr>
        <w:t>)</w:t>
      </w:r>
      <w:r w:rsidRPr="0092693A">
        <w:rPr>
          <w:sz w:val="24"/>
          <w:szCs w:val="24"/>
        </w:rPr>
        <w:t xml:space="preserve"> </w:t>
      </w:r>
      <w:r w:rsidR="00422DD9">
        <w:rPr>
          <w:sz w:val="24"/>
          <w:szCs w:val="24"/>
        </w:rPr>
        <w:t>'</w:t>
      </w:r>
      <w:r w:rsidRPr="0092693A">
        <w:rPr>
          <w:sz w:val="24"/>
          <w:szCs w:val="24"/>
        </w:rPr>
        <w:t>Pre-emptive democracy: Oligarchic tendencies in deliberative democracy</w:t>
      </w:r>
      <w:r w:rsidR="00422DD9">
        <w:rPr>
          <w:sz w:val="24"/>
          <w:szCs w:val="24"/>
        </w:rPr>
        <w:t>'</w:t>
      </w:r>
      <w:r w:rsidR="00FF33CB">
        <w:rPr>
          <w:sz w:val="24"/>
          <w:szCs w:val="24"/>
        </w:rPr>
        <w:t>,</w:t>
      </w:r>
      <w:r w:rsidRPr="0092693A">
        <w:rPr>
          <w:sz w:val="24"/>
          <w:szCs w:val="24"/>
        </w:rPr>
        <w:t xml:space="preserve"> </w:t>
      </w:r>
      <w:r w:rsidRPr="0092693A">
        <w:rPr>
          <w:i/>
          <w:iCs/>
          <w:sz w:val="24"/>
          <w:szCs w:val="24"/>
        </w:rPr>
        <w:t>Political Studies</w:t>
      </w:r>
      <w:r w:rsidR="00422DD9">
        <w:rPr>
          <w:sz w:val="24"/>
          <w:szCs w:val="24"/>
        </w:rPr>
        <w:t xml:space="preserve">, 56(1): </w:t>
      </w:r>
      <w:r w:rsidRPr="0092693A">
        <w:rPr>
          <w:sz w:val="24"/>
          <w:szCs w:val="24"/>
        </w:rPr>
        <w:t>127–147.</w:t>
      </w:r>
    </w:p>
    <w:p w:rsidR="00FE37C0" w:rsidRPr="00FE37C0" w:rsidRDefault="00FE37C0" w:rsidP="00FE37C0">
      <w:pPr>
        <w:jc w:val="both"/>
        <w:rPr>
          <w:sz w:val="24"/>
          <w:szCs w:val="24"/>
          <w:lang w:val="it-IT"/>
        </w:rPr>
      </w:pPr>
      <w:r w:rsidRPr="00FE37C0">
        <w:rPr>
          <w:sz w:val="24"/>
          <w:szCs w:val="24"/>
          <w:lang w:val="en-US"/>
        </w:rPr>
        <w:t xml:space="preserve">Weale A. (forthcoming 2018) ‘Accountability and Democratic Innovations’, </w:t>
      </w:r>
      <w:r w:rsidRPr="00FE37C0">
        <w:rPr>
          <w:sz w:val="24"/>
          <w:szCs w:val="24"/>
        </w:rPr>
        <w:t>in S. Elstub &amp; O. Escobar (eds.), </w:t>
      </w:r>
      <w:r w:rsidRPr="00FE37C0">
        <w:rPr>
          <w:i/>
          <w:iCs/>
          <w:sz w:val="24"/>
          <w:szCs w:val="24"/>
        </w:rPr>
        <w:t>Handbook of Democratic Innovations and Governance</w:t>
      </w:r>
      <w:r w:rsidRPr="00FE37C0">
        <w:rPr>
          <w:sz w:val="24"/>
          <w:szCs w:val="24"/>
        </w:rPr>
        <w:t>, Edward Elgar.</w:t>
      </w:r>
    </w:p>
    <w:p w:rsidR="0092693A" w:rsidRDefault="00B63FCB" w:rsidP="0092693A">
      <w:pPr>
        <w:jc w:val="both"/>
        <w:rPr>
          <w:sz w:val="24"/>
          <w:szCs w:val="24"/>
        </w:rPr>
      </w:pPr>
      <w:r w:rsidRPr="00B63FCB">
        <w:rPr>
          <w:sz w:val="24"/>
          <w:szCs w:val="24"/>
        </w:rPr>
        <w:t>Webster, G., Grinbergs</w:t>
      </w:r>
      <w:r w:rsidR="00FF33CB">
        <w:rPr>
          <w:sz w:val="24"/>
          <w:szCs w:val="24"/>
        </w:rPr>
        <w:t>-Saull, H., Mountain, B. (2017)</w:t>
      </w:r>
      <w:r w:rsidRPr="00B63FCB">
        <w:rPr>
          <w:sz w:val="24"/>
          <w:szCs w:val="24"/>
        </w:rPr>
        <w:t xml:space="preserve"> </w:t>
      </w:r>
      <w:r>
        <w:rPr>
          <w:sz w:val="24"/>
          <w:szCs w:val="24"/>
        </w:rPr>
        <w:t>'</w:t>
      </w:r>
      <w:r w:rsidRPr="00B63FCB">
        <w:rPr>
          <w:sz w:val="24"/>
          <w:szCs w:val="24"/>
        </w:rPr>
        <w:t>Core outcome measures for interventions to prevent or slow the progress of dementia for people living with mild to moderate dementia: Systematic revie</w:t>
      </w:r>
      <w:r w:rsidR="00FF33CB">
        <w:rPr>
          <w:sz w:val="24"/>
          <w:szCs w:val="24"/>
        </w:rPr>
        <w:t>w and consensus recommendations</w:t>
      </w:r>
      <w:r>
        <w:rPr>
          <w:sz w:val="24"/>
          <w:szCs w:val="24"/>
        </w:rPr>
        <w:t>'</w:t>
      </w:r>
      <w:r w:rsidR="00FF33CB">
        <w:rPr>
          <w:sz w:val="24"/>
          <w:szCs w:val="24"/>
        </w:rPr>
        <w:t>,</w:t>
      </w:r>
      <w:r w:rsidRPr="00B63FCB">
        <w:rPr>
          <w:sz w:val="24"/>
          <w:szCs w:val="24"/>
        </w:rPr>
        <w:t xml:space="preserve"> </w:t>
      </w:r>
      <w:r w:rsidRPr="00B63FCB">
        <w:rPr>
          <w:i/>
          <w:sz w:val="24"/>
          <w:szCs w:val="24"/>
        </w:rPr>
        <w:t>PLoS One</w:t>
      </w:r>
      <w:r w:rsidRPr="00B63FCB">
        <w:rPr>
          <w:sz w:val="24"/>
          <w:szCs w:val="24"/>
        </w:rPr>
        <w:t>, 12(6)</w:t>
      </w:r>
      <w:r>
        <w:rPr>
          <w:sz w:val="24"/>
          <w:szCs w:val="24"/>
        </w:rPr>
        <w:t>:</w:t>
      </w:r>
      <w:r w:rsidRPr="00B63FCB">
        <w:rPr>
          <w:sz w:val="24"/>
          <w:szCs w:val="24"/>
        </w:rPr>
        <w:t xml:space="preserve"> E0179521.</w:t>
      </w:r>
      <w:r w:rsidR="0092693A" w:rsidRPr="0092693A">
        <w:rPr>
          <w:sz w:val="24"/>
          <w:szCs w:val="24"/>
        </w:rPr>
        <w:t xml:space="preserve"> </w:t>
      </w:r>
    </w:p>
    <w:p w:rsidR="00B63FCB" w:rsidRPr="00B63FCB" w:rsidRDefault="00B63FCB" w:rsidP="00B63FCB">
      <w:pPr>
        <w:jc w:val="both"/>
        <w:rPr>
          <w:sz w:val="24"/>
          <w:szCs w:val="24"/>
        </w:rPr>
      </w:pPr>
      <w:r w:rsidRPr="00B63FCB">
        <w:rPr>
          <w:sz w:val="24"/>
          <w:szCs w:val="24"/>
        </w:rPr>
        <w:t xml:space="preserve">Weill, C., &amp; Banta, D. (2009) </w:t>
      </w:r>
      <w:r>
        <w:rPr>
          <w:sz w:val="24"/>
          <w:szCs w:val="24"/>
        </w:rPr>
        <w:t>'</w:t>
      </w:r>
      <w:r w:rsidRPr="00B63FCB">
        <w:rPr>
          <w:sz w:val="24"/>
          <w:szCs w:val="24"/>
        </w:rPr>
        <w:t xml:space="preserve">Development of health </w:t>
      </w:r>
      <w:r w:rsidR="00FF33CB">
        <w:rPr>
          <w:sz w:val="24"/>
          <w:szCs w:val="24"/>
        </w:rPr>
        <w:t>technology assessment in France</w:t>
      </w:r>
      <w:r>
        <w:rPr>
          <w:sz w:val="24"/>
          <w:szCs w:val="24"/>
        </w:rPr>
        <w:t>'</w:t>
      </w:r>
      <w:r w:rsidR="00FF33CB">
        <w:rPr>
          <w:sz w:val="24"/>
          <w:szCs w:val="24"/>
        </w:rPr>
        <w:t>,</w:t>
      </w:r>
      <w:r w:rsidRPr="00B63FCB">
        <w:rPr>
          <w:sz w:val="24"/>
          <w:szCs w:val="24"/>
        </w:rPr>
        <w:t xml:space="preserve"> </w:t>
      </w:r>
      <w:r w:rsidRPr="00B63FCB">
        <w:rPr>
          <w:i/>
          <w:sz w:val="24"/>
          <w:szCs w:val="24"/>
        </w:rPr>
        <w:t>International Journal of Technology Assessment in Health Care</w:t>
      </w:r>
      <w:r>
        <w:rPr>
          <w:sz w:val="24"/>
          <w:szCs w:val="24"/>
        </w:rPr>
        <w:t>, 25(S1):</w:t>
      </w:r>
      <w:r w:rsidRPr="00B63FCB">
        <w:rPr>
          <w:sz w:val="24"/>
          <w:szCs w:val="24"/>
        </w:rPr>
        <w:t xml:space="preserve"> 108-11.</w:t>
      </w:r>
    </w:p>
    <w:p w:rsidR="00E26C75" w:rsidRPr="00E26C75" w:rsidRDefault="0092693A" w:rsidP="00FF33CB">
      <w:pPr>
        <w:jc w:val="both"/>
        <w:rPr>
          <w:sz w:val="24"/>
          <w:szCs w:val="24"/>
        </w:rPr>
      </w:pPr>
      <w:r w:rsidRPr="0092693A">
        <w:rPr>
          <w:sz w:val="24"/>
          <w:szCs w:val="24"/>
        </w:rPr>
        <w:fldChar w:fldCharType="end"/>
      </w:r>
      <w:proofErr w:type="spellStart"/>
      <w:r w:rsidR="00E927B0" w:rsidRPr="00E927B0">
        <w:rPr>
          <w:sz w:val="24"/>
          <w:szCs w:val="24"/>
        </w:rPr>
        <w:t>Withall</w:t>
      </w:r>
      <w:proofErr w:type="spellEnd"/>
      <w:r w:rsidR="00E927B0" w:rsidRPr="00E927B0">
        <w:rPr>
          <w:sz w:val="24"/>
          <w:szCs w:val="24"/>
        </w:rPr>
        <w:t>, E., Wilson, A. M., Henderson, J., Tonkin, E.,</w:t>
      </w:r>
      <w:r w:rsidR="00422DD9">
        <w:rPr>
          <w:sz w:val="24"/>
          <w:szCs w:val="24"/>
        </w:rPr>
        <w:t xml:space="preserve"> </w:t>
      </w:r>
      <w:proofErr w:type="spellStart"/>
      <w:r w:rsidR="00422DD9">
        <w:rPr>
          <w:sz w:val="24"/>
          <w:szCs w:val="24"/>
        </w:rPr>
        <w:t>Coveney</w:t>
      </w:r>
      <w:proofErr w:type="spellEnd"/>
      <w:r w:rsidR="00422DD9">
        <w:rPr>
          <w:sz w:val="24"/>
          <w:szCs w:val="24"/>
        </w:rPr>
        <w:t xml:space="preserve">, J., Meyer, S. B., </w:t>
      </w:r>
      <w:r w:rsidR="00E927B0" w:rsidRPr="00E927B0">
        <w:rPr>
          <w:sz w:val="24"/>
          <w:szCs w:val="24"/>
        </w:rPr>
        <w:t xml:space="preserve">&amp; Ward, P. R. (2016) </w:t>
      </w:r>
      <w:r w:rsidR="00422DD9">
        <w:rPr>
          <w:sz w:val="24"/>
          <w:szCs w:val="24"/>
        </w:rPr>
        <w:t>‘</w:t>
      </w:r>
      <w:r w:rsidR="00E927B0" w:rsidRPr="00E927B0">
        <w:rPr>
          <w:sz w:val="24"/>
          <w:szCs w:val="24"/>
        </w:rPr>
        <w:t>Obtaining consumer perspectives using a citizens’ jury: does the current country of origin labelling in Australia a</w:t>
      </w:r>
      <w:r w:rsidR="00422DD9">
        <w:rPr>
          <w:sz w:val="24"/>
          <w:szCs w:val="24"/>
        </w:rPr>
        <w:t>llow for informed food choices?’</w:t>
      </w:r>
      <w:r w:rsidR="00E927B0" w:rsidRPr="00E927B0">
        <w:rPr>
          <w:sz w:val="24"/>
          <w:szCs w:val="24"/>
        </w:rPr>
        <w:t> </w:t>
      </w:r>
      <w:r w:rsidR="00E927B0" w:rsidRPr="00E927B0">
        <w:rPr>
          <w:i/>
          <w:iCs/>
          <w:sz w:val="24"/>
          <w:szCs w:val="24"/>
        </w:rPr>
        <w:t>BMC public health</w:t>
      </w:r>
      <w:r w:rsidR="00E927B0" w:rsidRPr="00E927B0">
        <w:rPr>
          <w:sz w:val="24"/>
          <w:szCs w:val="24"/>
        </w:rPr>
        <w:t>, </w:t>
      </w:r>
      <w:r w:rsidR="00E927B0" w:rsidRPr="00E927B0">
        <w:rPr>
          <w:i/>
          <w:iCs/>
          <w:sz w:val="24"/>
          <w:szCs w:val="24"/>
        </w:rPr>
        <w:t>16</w:t>
      </w:r>
      <w:r w:rsidR="00422DD9">
        <w:rPr>
          <w:sz w:val="24"/>
          <w:szCs w:val="24"/>
        </w:rPr>
        <w:t>(1):</w:t>
      </w:r>
      <w:r w:rsidR="00E927B0" w:rsidRPr="00E927B0">
        <w:rPr>
          <w:sz w:val="24"/>
          <w:szCs w:val="24"/>
        </w:rPr>
        <w:t xml:space="preserve"> 12</w:t>
      </w:r>
      <w:r w:rsidR="009511A4">
        <w:rPr>
          <w:sz w:val="24"/>
          <w:szCs w:val="24"/>
        </w:rPr>
        <w:t>-</w:t>
      </w:r>
      <w:r w:rsidR="00E927B0" w:rsidRPr="00E927B0">
        <w:rPr>
          <w:sz w:val="24"/>
          <w:szCs w:val="24"/>
        </w:rPr>
        <w:t>41.</w:t>
      </w:r>
    </w:p>
    <w:sectPr w:rsidR="00E26C75" w:rsidRPr="00E26C75" w:rsidSect="008075EF">
      <w:headerReference w:type="default" r:id="rId15"/>
      <w:footerReference w:type="default" r:id="rId16"/>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094B" w:rsidRDefault="0005094B" w:rsidP="00F12AEA">
      <w:pPr>
        <w:spacing w:after="0" w:line="240" w:lineRule="auto"/>
      </w:pPr>
      <w:r>
        <w:separator/>
      </w:r>
    </w:p>
  </w:endnote>
  <w:endnote w:type="continuationSeparator" w:id="0">
    <w:p w:rsidR="0005094B" w:rsidRDefault="0005094B" w:rsidP="00F12A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6194864"/>
      <w:docPartObj>
        <w:docPartGallery w:val="Page Numbers (Bottom of Page)"/>
        <w:docPartUnique/>
      </w:docPartObj>
    </w:sdtPr>
    <w:sdtEndPr>
      <w:rPr>
        <w:color w:val="7F7F7F" w:themeColor="background1" w:themeShade="7F"/>
        <w:spacing w:val="60"/>
      </w:rPr>
    </w:sdtEndPr>
    <w:sdtContent>
      <w:p w:rsidR="0005094B" w:rsidRDefault="0005094B">
        <w:pPr>
          <w:pStyle w:val="Footer"/>
          <w:pBdr>
            <w:top w:val="single" w:sz="4" w:space="1" w:color="D9D9D9" w:themeColor="background1" w:themeShade="D9"/>
          </w:pBdr>
          <w:jc w:val="right"/>
        </w:pPr>
        <w:r>
          <w:fldChar w:fldCharType="begin"/>
        </w:r>
        <w:r>
          <w:instrText xml:space="preserve"> PAGE   \* MERGEFORMAT </w:instrText>
        </w:r>
        <w:r>
          <w:fldChar w:fldCharType="separate"/>
        </w:r>
        <w:r w:rsidR="0045315F">
          <w:rPr>
            <w:noProof/>
          </w:rPr>
          <w:t>57</w:t>
        </w:r>
        <w:r>
          <w:rPr>
            <w:noProof/>
          </w:rPr>
          <w:fldChar w:fldCharType="end"/>
        </w:r>
        <w:r>
          <w:t xml:space="preserve"> | </w:t>
        </w:r>
        <w:r>
          <w:rPr>
            <w:color w:val="7F7F7F" w:themeColor="background1" w:themeShade="7F"/>
            <w:spacing w:val="60"/>
          </w:rPr>
          <w:t>Page</w:t>
        </w:r>
      </w:p>
    </w:sdtContent>
  </w:sdt>
  <w:p w:rsidR="0005094B" w:rsidRDefault="000509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094B" w:rsidRDefault="0005094B" w:rsidP="00F12AEA">
      <w:pPr>
        <w:spacing w:after="0" w:line="240" w:lineRule="auto"/>
      </w:pPr>
      <w:r>
        <w:separator/>
      </w:r>
    </w:p>
  </w:footnote>
  <w:footnote w:type="continuationSeparator" w:id="0">
    <w:p w:rsidR="0005094B" w:rsidRDefault="0005094B" w:rsidP="00F12AEA">
      <w:pPr>
        <w:spacing w:after="0" w:line="240" w:lineRule="auto"/>
      </w:pPr>
      <w:r>
        <w:continuationSeparator/>
      </w:r>
    </w:p>
  </w:footnote>
  <w:footnote w:id="1">
    <w:p w:rsidR="0005094B" w:rsidRPr="008320E8" w:rsidRDefault="0005094B" w:rsidP="00A676F7">
      <w:pPr>
        <w:pStyle w:val="FootnoteText"/>
      </w:pPr>
      <w:r>
        <w:rPr>
          <w:rStyle w:val="FootnoteReference"/>
        </w:rPr>
        <w:footnoteRef/>
      </w:r>
      <w:r>
        <w:t xml:space="preserve"> The oversight panel was comprised of the Cambridge Nanoscience Centre, Greenpeace U.K., and PEALS. The oversight panel was responsible for the citizens’ jury’s planning, publicity, and decision-making.</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094B" w:rsidRDefault="0005094B">
    <w:pPr>
      <w:pStyle w:val="Header"/>
    </w:pPr>
    <w:r>
      <w:rPr>
        <w:noProof/>
        <w:lang w:eastAsia="en-GB"/>
      </w:rPr>
      <mc:AlternateContent>
        <mc:Choice Requires="wps">
          <w:drawing>
            <wp:anchor distT="0" distB="0" distL="118745" distR="118745" simplePos="0" relativeHeight="251661312" behindDoc="1" locked="0" layoutInCell="1" allowOverlap="0">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rsidR="0005094B" w:rsidRDefault="0005094B">
                              <w:pPr>
                                <w:pStyle w:val="Header"/>
                                <w:jc w:val="center"/>
                                <w:rPr>
                                  <w:caps/>
                                  <w:color w:val="FFFFFF" w:themeColor="background1"/>
                                </w:rPr>
                              </w:pPr>
                              <w:r>
                                <w:rPr>
                                  <w:caps/>
                                  <w:color w:val="FFFFFF" w:themeColor="background1"/>
                                </w:rPr>
                                <w:t>Mini-publics and evidence uptake in social policy and practice</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ctangle 197" o:spid="_x0000_s1030" style="position:absolute;margin-left:0;margin-top:0;width:468.5pt;height:21.3pt;z-index:-251655168;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" o:allowoverlap="f" fillcolor="#2fa3ee [3204]" stroked="f" strokeweight="1.25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rsidR="0005094B" w:rsidRDefault="0005094B">
                        <w:pPr>
                          <w:pStyle w:val="Header"/>
                          <w:jc w:val="center"/>
                          <w:rPr>
                            <w:caps/>
                            <w:color w:val="FFFFFF" w:themeColor="background1"/>
                          </w:rPr>
                        </w:pPr>
                        <w:r>
                          <w:rPr>
                            <w:caps/>
                            <w:color w:val="FFFFFF" w:themeColor="background1"/>
                          </w:rPr>
                          <w:t>Mini-publics and evidence uptake in social policy and practice</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207FE"/>
    <w:multiLevelType w:val="hybridMultilevel"/>
    <w:tmpl w:val="C8980972"/>
    <w:lvl w:ilvl="0" w:tplc="DEE48CB2">
      <w:start w:val="1"/>
      <w:numFmt w:val="bullet"/>
      <w:lvlText w:val=""/>
      <w:lvlJc w:val="left"/>
      <w:pPr>
        <w:ind w:left="720" w:hanging="360"/>
      </w:pPr>
      <w:rPr>
        <w:rFonts w:ascii="Symbol" w:hAnsi="Symbol" w:hint="default"/>
        <w:color w:val="0B5484" w:themeColor="accent1" w:themeShad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78613D"/>
    <w:multiLevelType w:val="hybridMultilevel"/>
    <w:tmpl w:val="2EC6EB80"/>
    <w:lvl w:ilvl="0" w:tplc="55168DC0">
      <w:start w:val="1"/>
      <w:numFmt w:val="upperRoman"/>
      <w:lvlText w:val="%1."/>
      <w:lvlJc w:val="right"/>
      <w:pPr>
        <w:ind w:left="720" w:hanging="360"/>
      </w:pPr>
      <w:rPr>
        <w:b/>
        <w:color w:val="0B5484" w:themeColor="accent1" w:themeShade="8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EA7123"/>
    <w:multiLevelType w:val="hybridMultilevel"/>
    <w:tmpl w:val="1A4C14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F47825"/>
    <w:multiLevelType w:val="hybridMultilevel"/>
    <w:tmpl w:val="3F0C1FB6"/>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044797"/>
    <w:multiLevelType w:val="hybridMultilevel"/>
    <w:tmpl w:val="1C543F54"/>
    <w:lvl w:ilvl="0" w:tplc="CD1891EE">
      <w:start w:val="1"/>
      <w:numFmt w:val="bullet"/>
      <w:lvlText w:val=""/>
      <w:lvlJc w:val="left"/>
      <w:pPr>
        <w:ind w:left="2160" w:hanging="360"/>
      </w:pPr>
      <w:rPr>
        <w:rFonts w:ascii="Wingdings" w:hAnsi="Wingdings" w:hint="default"/>
        <w:color w:val="0B5484" w:themeColor="accent1" w:themeShade="80"/>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 w15:restartNumberingAfterBreak="0">
    <w:nsid w:val="1B7D35F2"/>
    <w:multiLevelType w:val="hybridMultilevel"/>
    <w:tmpl w:val="B51A59A4"/>
    <w:lvl w:ilvl="0" w:tplc="3CF26FD2">
      <w:start w:val="1"/>
      <w:numFmt w:val="bullet"/>
      <w:lvlText w:val=""/>
      <w:lvlJc w:val="left"/>
      <w:pPr>
        <w:ind w:left="720" w:hanging="360"/>
      </w:pPr>
      <w:rPr>
        <w:rFonts w:ascii="Symbol" w:hAnsi="Symbol" w:hint="default"/>
        <w:color w:val="0B5484" w:themeColor="accent1" w:themeShad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C2301E"/>
    <w:multiLevelType w:val="hybridMultilevel"/>
    <w:tmpl w:val="4B6A84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9A78D5"/>
    <w:multiLevelType w:val="hybridMultilevel"/>
    <w:tmpl w:val="E614480E"/>
    <w:lvl w:ilvl="0" w:tplc="A6B62BB0">
      <w:start w:val="1"/>
      <w:numFmt w:val="upperRoman"/>
      <w:lvlText w:val="%1."/>
      <w:lvlJc w:val="righ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EB81062"/>
    <w:multiLevelType w:val="hybridMultilevel"/>
    <w:tmpl w:val="4836D1E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1F53AD8"/>
    <w:multiLevelType w:val="hybridMultilevel"/>
    <w:tmpl w:val="4E462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825E33"/>
    <w:multiLevelType w:val="hybridMultilevel"/>
    <w:tmpl w:val="EC4A5D02"/>
    <w:lvl w:ilvl="0" w:tplc="818EC9EE">
      <w:start w:val="1"/>
      <w:numFmt w:val="bullet"/>
      <w:lvlText w:val=""/>
      <w:lvlJc w:val="left"/>
      <w:pPr>
        <w:ind w:left="720" w:hanging="360"/>
      </w:pPr>
      <w:rPr>
        <w:rFonts w:ascii="Symbol" w:hAnsi="Symbol" w:hint="default"/>
        <w:b/>
        <w:color w:val="0B5484" w:themeColor="accent1" w:themeShade="8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0727C7D"/>
    <w:multiLevelType w:val="hybridMultilevel"/>
    <w:tmpl w:val="4FE68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1C23E9C"/>
    <w:multiLevelType w:val="hybridMultilevel"/>
    <w:tmpl w:val="5148B6DC"/>
    <w:lvl w:ilvl="0" w:tplc="39F84A56">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4517501"/>
    <w:multiLevelType w:val="hybridMultilevel"/>
    <w:tmpl w:val="899A777E"/>
    <w:lvl w:ilvl="0" w:tplc="A6B62BB0">
      <w:start w:val="1"/>
      <w:numFmt w:val="upperRoman"/>
      <w:lvlText w:val="%1."/>
      <w:lvlJc w:val="righ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4D94292"/>
    <w:multiLevelType w:val="hybridMultilevel"/>
    <w:tmpl w:val="797895E6"/>
    <w:lvl w:ilvl="0" w:tplc="435ED6A6">
      <w:start w:val="1"/>
      <w:numFmt w:val="bullet"/>
      <w:lvlText w:val=""/>
      <w:lvlJc w:val="left"/>
      <w:pPr>
        <w:ind w:left="2160" w:hanging="360"/>
      </w:pPr>
      <w:rPr>
        <w:rFonts w:ascii="Wingdings" w:hAnsi="Wingdings" w:hint="default"/>
        <w:color w:val="0B5484" w:themeColor="accent1" w:themeShade="80"/>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5" w15:restartNumberingAfterBreak="0">
    <w:nsid w:val="57A062AC"/>
    <w:multiLevelType w:val="hybridMultilevel"/>
    <w:tmpl w:val="899A777E"/>
    <w:lvl w:ilvl="0" w:tplc="A6B62BB0">
      <w:start w:val="1"/>
      <w:numFmt w:val="upperRoman"/>
      <w:lvlText w:val="%1."/>
      <w:lvlJc w:val="righ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95B34A4"/>
    <w:multiLevelType w:val="hybridMultilevel"/>
    <w:tmpl w:val="8EA00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F417EA9"/>
    <w:multiLevelType w:val="hybridMultilevel"/>
    <w:tmpl w:val="899A777E"/>
    <w:lvl w:ilvl="0" w:tplc="A6B62BB0">
      <w:start w:val="1"/>
      <w:numFmt w:val="upperRoman"/>
      <w:lvlText w:val="%1."/>
      <w:lvlJc w:val="righ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2757E87"/>
    <w:multiLevelType w:val="hybridMultilevel"/>
    <w:tmpl w:val="514A07D0"/>
    <w:lvl w:ilvl="0" w:tplc="24E4AD22">
      <w:start w:val="1"/>
      <w:numFmt w:val="bullet"/>
      <w:lvlText w:val=""/>
      <w:lvlJc w:val="left"/>
      <w:pPr>
        <w:ind w:left="1440" w:hanging="360"/>
      </w:pPr>
      <w:rPr>
        <w:rFonts w:ascii="Wingdings" w:hAnsi="Wingdings" w:hint="default"/>
        <w:color w:val="0B5484" w:themeColor="accent1" w:themeShade="8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655D6119"/>
    <w:multiLevelType w:val="hybridMultilevel"/>
    <w:tmpl w:val="F41450FC"/>
    <w:lvl w:ilvl="0" w:tplc="5FC8F1E2">
      <w:start w:val="1"/>
      <w:numFmt w:val="upperRoman"/>
      <w:lvlText w:val="%1."/>
      <w:lvlJc w:val="righ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74F0FEC"/>
    <w:multiLevelType w:val="hybridMultilevel"/>
    <w:tmpl w:val="FDFAF6FA"/>
    <w:lvl w:ilvl="0" w:tplc="765C363E">
      <w:start w:val="1"/>
      <w:numFmt w:val="decimal"/>
      <w:lvlText w:val="%1."/>
      <w:lvlJc w:val="left"/>
      <w:pPr>
        <w:ind w:left="360" w:hanging="360"/>
      </w:pPr>
      <w:rPr>
        <w:b/>
        <w:color w:val="0B5484" w:themeColor="accent1" w:themeShade="8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DA75FED"/>
    <w:multiLevelType w:val="hybridMultilevel"/>
    <w:tmpl w:val="4B2A2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4C20075"/>
    <w:multiLevelType w:val="hybridMultilevel"/>
    <w:tmpl w:val="7D9C31F4"/>
    <w:lvl w:ilvl="0" w:tplc="39F84A56">
      <w:start w:val="1"/>
      <w:numFmt w:val="decimal"/>
      <w:lvlText w:val="%1."/>
      <w:lvlJc w:val="left"/>
      <w:pPr>
        <w:ind w:left="144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15:restartNumberingAfterBreak="0">
    <w:nsid w:val="74EC595F"/>
    <w:multiLevelType w:val="hybridMultilevel"/>
    <w:tmpl w:val="379CB0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5B3128B"/>
    <w:multiLevelType w:val="hybridMultilevel"/>
    <w:tmpl w:val="5FDAB39A"/>
    <w:lvl w:ilvl="0" w:tplc="9D44E83A">
      <w:start w:val="1"/>
      <w:numFmt w:val="bullet"/>
      <w:lvlText w:val=""/>
      <w:lvlJc w:val="left"/>
      <w:pPr>
        <w:ind w:left="2160" w:hanging="360"/>
      </w:pPr>
      <w:rPr>
        <w:rFonts w:ascii="Wingdings" w:hAnsi="Wingdings" w:hint="default"/>
        <w:color w:val="0B5484" w:themeColor="accent1" w:themeShade="80"/>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5" w15:restartNumberingAfterBreak="0">
    <w:nsid w:val="778B633E"/>
    <w:multiLevelType w:val="hybridMultilevel"/>
    <w:tmpl w:val="17F6A8B0"/>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26" w15:restartNumberingAfterBreak="0">
    <w:nsid w:val="7D0D257C"/>
    <w:multiLevelType w:val="hybridMultilevel"/>
    <w:tmpl w:val="5B181768"/>
    <w:lvl w:ilvl="0" w:tplc="5246C66C">
      <w:start w:val="1"/>
      <w:numFmt w:val="decimal"/>
      <w:lvlText w:val="%1."/>
      <w:lvlJc w:val="left"/>
      <w:pPr>
        <w:ind w:left="720" w:hanging="360"/>
      </w:pPr>
      <w:rPr>
        <w:rFonts w:hint="default"/>
        <w:b/>
        <w:color w:val="0B5484" w:themeColor="accent1" w:themeShad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20"/>
  </w:num>
  <w:num w:numId="3">
    <w:abstractNumId w:val="0"/>
  </w:num>
  <w:num w:numId="4">
    <w:abstractNumId w:val="26"/>
  </w:num>
  <w:num w:numId="5">
    <w:abstractNumId w:val="2"/>
  </w:num>
  <w:num w:numId="6">
    <w:abstractNumId w:val="11"/>
  </w:num>
  <w:num w:numId="7">
    <w:abstractNumId w:val="23"/>
  </w:num>
  <w:num w:numId="8">
    <w:abstractNumId w:val="7"/>
  </w:num>
  <w:num w:numId="9">
    <w:abstractNumId w:val="10"/>
  </w:num>
  <w:num w:numId="10">
    <w:abstractNumId w:val="13"/>
  </w:num>
  <w:num w:numId="11">
    <w:abstractNumId w:val="1"/>
  </w:num>
  <w:num w:numId="12">
    <w:abstractNumId w:val="15"/>
  </w:num>
  <w:num w:numId="13">
    <w:abstractNumId w:val="3"/>
  </w:num>
  <w:num w:numId="14">
    <w:abstractNumId w:val="19"/>
  </w:num>
  <w:num w:numId="15">
    <w:abstractNumId w:val="16"/>
  </w:num>
  <w:num w:numId="16">
    <w:abstractNumId w:val="12"/>
  </w:num>
  <w:num w:numId="17">
    <w:abstractNumId w:val="5"/>
  </w:num>
  <w:num w:numId="18">
    <w:abstractNumId w:val="22"/>
  </w:num>
  <w:num w:numId="19">
    <w:abstractNumId w:val="18"/>
  </w:num>
  <w:num w:numId="20">
    <w:abstractNumId w:val="24"/>
  </w:num>
  <w:num w:numId="21">
    <w:abstractNumId w:val="14"/>
  </w:num>
  <w:num w:numId="22">
    <w:abstractNumId w:val="4"/>
  </w:num>
  <w:num w:numId="23">
    <w:abstractNumId w:val="6"/>
  </w:num>
  <w:num w:numId="24">
    <w:abstractNumId w:val="9"/>
  </w:num>
  <w:num w:numId="25">
    <w:abstractNumId w:val="17"/>
  </w:num>
  <w:num w:numId="26">
    <w:abstractNumId w:val="8"/>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D20"/>
    <w:rsid w:val="0001431F"/>
    <w:rsid w:val="00015DA8"/>
    <w:rsid w:val="00022619"/>
    <w:rsid w:val="00022C75"/>
    <w:rsid w:val="000264B9"/>
    <w:rsid w:val="000272E0"/>
    <w:rsid w:val="00034A28"/>
    <w:rsid w:val="0003726F"/>
    <w:rsid w:val="0005094B"/>
    <w:rsid w:val="00097EB9"/>
    <w:rsid w:val="000B08BB"/>
    <w:rsid w:val="000B56DC"/>
    <w:rsid w:val="000D4A6F"/>
    <w:rsid w:val="000D5ED1"/>
    <w:rsid w:val="000E7433"/>
    <w:rsid w:val="000F6E9D"/>
    <w:rsid w:val="00101659"/>
    <w:rsid w:val="0010523C"/>
    <w:rsid w:val="00106249"/>
    <w:rsid w:val="001212DE"/>
    <w:rsid w:val="0012724A"/>
    <w:rsid w:val="00127CC6"/>
    <w:rsid w:val="00145EA0"/>
    <w:rsid w:val="001610FC"/>
    <w:rsid w:val="00175860"/>
    <w:rsid w:val="00181C2E"/>
    <w:rsid w:val="001941F5"/>
    <w:rsid w:val="001D39E7"/>
    <w:rsid w:val="001E2C29"/>
    <w:rsid w:val="001E414F"/>
    <w:rsid w:val="001E52C9"/>
    <w:rsid w:val="001E79D9"/>
    <w:rsid w:val="001E7C00"/>
    <w:rsid w:val="001E7CB0"/>
    <w:rsid w:val="001F306B"/>
    <w:rsid w:val="001F6178"/>
    <w:rsid w:val="00206C79"/>
    <w:rsid w:val="00207268"/>
    <w:rsid w:val="0022023D"/>
    <w:rsid w:val="00225D20"/>
    <w:rsid w:val="00230970"/>
    <w:rsid w:val="0023720D"/>
    <w:rsid w:val="00237EB1"/>
    <w:rsid w:val="00241881"/>
    <w:rsid w:val="002432B3"/>
    <w:rsid w:val="002474E2"/>
    <w:rsid w:val="00256A88"/>
    <w:rsid w:val="0029027F"/>
    <w:rsid w:val="00294C4F"/>
    <w:rsid w:val="002A346A"/>
    <w:rsid w:val="002A397D"/>
    <w:rsid w:val="002A6106"/>
    <w:rsid w:val="002F1F16"/>
    <w:rsid w:val="0031061C"/>
    <w:rsid w:val="00337190"/>
    <w:rsid w:val="00344FD7"/>
    <w:rsid w:val="00351AB1"/>
    <w:rsid w:val="00352421"/>
    <w:rsid w:val="00363B59"/>
    <w:rsid w:val="00372757"/>
    <w:rsid w:val="003D1CB8"/>
    <w:rsid w:val="003D5278"/>
    <w:rsid w:val="003D7E88"/>
    <w:rsid w:val="00401C39"/>
    <w:rsid w:val="00421349"/>
    <w:rsid w:val="00422DD9"/>
    <w:rsid w:val="0043749E"/>
    <w:rsid w:val="0045315F"/>
    <w:rsid w:val="0045581F"/>
    <w:rsid w:val="004615F1"/>
    <w:rsid w:val="004721EF"/>
    <w:rsid w:val="00472376"/>
    <w:rsid w:val="00494EAD"/>
    <w:rsid w:val="0049609F"/>
    <w:rsid w:val="0049767C"/>
    <w:rsid w:val="004B2250"/>
    <w:rsid w:val="004B698B"/>
    <w:rsid w:val="004D0B5D"/>
    <w:rsid w:val="004D61E2"/>
    <w:rsid w:val="00507AAE"/>
    <w:rsid w:val="0052562D"/>
    <w:rsid w:val="005263FF"/>
    <w:rsid w:val="00532FCD"/>
    <w:rsid w:val="00583EEC"/>
    <w:rsid w:val="005A5D6A"/>
    <w:rsid w:val="005A7A23"/>
    <w:rsid w:val="005D584B"/>
    <w:rsid w:val="005F7A33"/>
    <w:rsid w:val="0061007D"/>
    <w:rsid w:val="00630B31"/>
    <w:rsid w:val="0063397C"/>
    <w:rsid w:val="00646D07"/>
    <w:rsid w:val="00665371"/>
    <w:rsid w:val="00674FAD"/>
    <w:rsid w:val="006767B5"/>
    <w:rsid w:val="006A27AC"/>
    <w:rsid w:val="006B4188"/>
    <w:rsid w:val="006D0584"/>
    <w:rsid w:val="00700784"/>
    <w:rsid w:val="00724157"/>
    <w:rsid w:val="007272F6"/>
    <w:rsid w:val="00743AD4"/>
    <w:rsid w:val="00745C82"/>
    <w:rsid w:val="007468BA"/>
    <w:rsid w:val="00764DF0"/>
    <w:rsid w:val="0077585D"/>
    <w:rsid w:val="00785C11"/>
    <w:rsid w:val="00794045"/>
    <w:rsid w:val="007A5869"/>
    <w:rsid w:val="007B0520"/>
    <w:rsid w:val="007B2900"/>
    <w:rsid w:val="007C6A80"/>
    <w:rsid w:val="007E77ED"/>
    <w:rsid w:val="007F729A"/>
    <w:rsid w:val="008075EF"/>
    <w:rsid w:val="00811F9F"/>
    <w:rsid w:val="00845E3C"/>
    <w:rsid w:val="00850E33"/>
    <w:rsid w:val="0085256C"/>
    <w:rsid w:val="00870A18"/>
    <w:rsid w:val="008748F1"/>
    <w:rsid w:val="0088377E"/>
    <w:rsid w:val="00886514"/>
    <w:rsid w:val="00893415"/>
    <w:rsid w:val="008C30D4"/>
    <w:rsid w:val="008C6922"/>
    <w:rsid w:val="008D06C0"/>
    <w:rsid w:val="008D1A2D"/>
    <w:rsid w:val="008D73B0"/>
    <w:rsid w:val="008F270C"/>
    <w:rsid w:val="008F6FFF"/>
    <w:rsid w:val="0090488E"/>
    <w:rsid w:val="009116FA"/>
    <w:rsid w:val="009152EA"/>
    <w:rsid w:val="00917503"/>
    <w:rsid w:val="0092429F"/>
    <w:rsid w:val="0092693A"/>
    <w:rsid w:val="009425E5"/>
    <w:rsid w:val="009511A4"/>
    <w:rsid w:val="00960106"/>
    <w:rsid w:val="0096372A"/>
    <w:rsid w:val="00964FCF"/>
    <w:rsid w:val="00965E1D"/>
    <w:rsid w:val="00973F24"/>
    <w:rsid w:val="00975E66"/>
    <w:rsid w:val="009B24D6"/>
    <w:rsid w:val="009B735D"/>
    <w:rsid w:val="009D0519"/>
    <w:rsid w:val="009D0A6D"/>
    <w:rsid w:val="009E51EE"/>
    <w:rsid w:val="009F518E"/>
    <w:rsid w:val="00A04127"/>
    <w:rsid w:val="00A400D3"/>
    <w:rsid w:val="00A657A6"/>
    <w:rsid w:val="00A676F7"/>
    <w:rsid w:val="00A73D15"/>
    <w:rsid w:val="00A77A90"/>
    <w:rsid w:val="00A81E63"/>
    <w:rsid w:val="00A861AF"/>
    <w:rsid w:val="00A965E4"/>
    <w:rsid w:val="00AB1614"/>
    <w:rsid w:val="00AB499E"/>
    <w:rsid w:val="00AB5033"/>
    <w:rsid w:val="00AC17FF"/>
    <w:rsid w:val="00AF399C"/>
    <w:rsid w:val="00B03D69"/>
    <w:rsid w:val="00B20E1F"/>
    <w:rsid w:val="00B4400E"/>
    <w:rsid w:val="00B55340"/>
    <w:rsid w:val="00B57114"/>
    <w:rsid w:val="00B63FCB"/>
    <w:rsid w:val="00B923C6"/>
    <w:rsid w:val="00BC070F"/>
    <w:rsid w:val="00BD3111"/>
    <w:rsid w:val="00BE31F8"/>
    <w:rsid w:val="00C12660"/>
    <w:rsid w:val="00C20525"/>
    <w:rsid w:val="00C24CE8"/>
    <w:rsid w:val="00C43E26"/>
    <w:rsid w:val="00C63D63"/>
    <w:rsid w:val="00C709EE"/>
    <w:rsid w:val="00C7150E"/>
    <w:rsid w:val="00C71ADC"/>
    <w:rsid w:val="00C72289"/>
    <w:rsid w:val="00C82A8C"/>
    <w:rsid w:val="00C9021F"/>
    <w:rsid w:val="00C95AFC"/>
    <w:rsid w:val="00CA28C0"/>
    <w:rsid w:val="00CB372F"/>
    <w:rsid w:val="00CB511B"/>
    <w:rsid w:val="00CD433A"/>
    <w:rsid w:val="00D01D36"/>
    <w:rsid w:val="00D040BA"/>
    <w:rsid w:val="00D35831"/>
    <w:rsid w:val="00D579FE"/>
    <w:rsid w:val="00D600F4"/>
    <w:rsid w:val="00D71DCE"/>
    <w:rsid w:val="00D7466B"/>
    <w:rsid w:val="00D82D3C"/>
    <w:rsid w:val="00D9012C"/>
    <w:rsid w:val="00D943A4"/>
    <w:rsid w:val="00D9500A"/>
    <w:rsid w:val="00D95475"/>
    <w:rsid w:val="00DA2AFA"/>
    <w:rsid w:val="00DA402F"/>
    <w:rsid w:val="00DA63C7"/>
    <w:rsid w:val="00DE2792"/>
    <w:rsid w:val="00DE2CD5"/>
    <w:rsid w:val="00DE35AF"/>
    <w:rsid w:val="00E01A86"/>
    <w:rsid w:val="00E15E9B"/>
    <w:rsid w:val="00E24CC1"/>
    <w:rsid w:val="00E26C75"/>
    <w:rsid w:val="00E311B1"/>
    <w:rsid w:val="00E34DCA"/>
    <w:rsid w:val="00E34ED6"/>
    <w:rsid w:val="00E54D55"/>
    <w:rsid w:val="00E56BB7"/>
    <w:rsid w:val="00E7247C"/>
    <w:rsid w:val="00E81254"/>
    <w:rsid w:val="00E869E0"/>
    <w:rsid w:val="00E8751E"/>
    <w:rsid w:val="00E927B0"/>
    <w:rsid w:val="00EA5AAF"/>
    <w:rsid w:val="00EC27DE"/>
    <w:rsid w:val="00ED1432"/>
    <w:rsid w:val="00ED581B"/>
    <w:rsid w:val="00EF5D46"/>
    <w:rsid w:val="00F03295"/>
    <w:rsid w:val="00F074E5"/>
    <w:rsid w:val="00F12494"/>
    <w:rsid w:val="00F12AEA"/>
    <w:rsid w:val="00F41FE1"/>
    <w:rsid w:val="00F6193E"/>
    <w:rsid w:val="00F6330E"/>
    <w:rsid w:val="00F668FD"/>
    <w:rsid w:val="00F66DB0"/>
    <w:rsid w:val="00F83B39"/>
    <w:rsid w:val="00F851F7"/>
    <w:rsid w:val="00FB0578"/>
    <w:rsid w:val="00FD592E"/>
    <w:rsid w:val="00FE37C0"/>
    <w:rsid w:val="00FF33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1DAE390"/>
  <w15:chartTrackingRefBased/>
  <w15:docId w15:val="{88165E49-2A76-45DD-9BCD-C67BC5AA2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A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3D15"/>
    <w:rPr>
      <w:color w:val="0000FF"/>
      <w:u w:val="single"/>
    </w:rPr>
  </w:style>
  <w:style w:type="paragraph" w:styleId="Header">
    <w:name w:val="header"/>
    <w:basedOn w:val="Normal"/>
    <w:link w:val="HeaderChar"/>
    <w:uiPriority w:val="99"/>
    <w:unhideWhenUsed/>
    <w:rsid w:val="00F12A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2AEA"/>
  </w:style>
  <w:style w:type="paragraph" w:styleId="Footer">
    <w:name w:val="footer"/>
    <w:basedOn w:val="Normal"/>
    <w:link w:val="FooterChar"/>
    <w:uiPriority w:val="99"/>
    <w:unhideWhenUsed/>
    <w:rsid w:val="00F12A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2AEA"/>
  </w:style>
  <w:style w:type="paragraph" w:styleId="ListParagraph">
    <w:name w:val="List Paragraph"/>
    <w:basedOn w:val="Normal"/>
    <w:uiPriority w:val="34"/>
    <w:qFormat/>
    <w:rsid w:val="009B735D"/>
    <w:pPr>
      <w:ind w:left="720"/>
      <w:contextualSpacing/>
    </w:pPr>
  </w:style>
  <w:style w:type="table" w:styleId="TableGrid">
    <w:name w:val="Table Grid"/>
    <w:basedOn w:val="TableNormal"/>
    <w:uiPriority w:val="39"/>
    <w:rsid w:val="007E77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A5A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5AAF"/>
    <w:rPr>
      <w:rFonts w:ascii="Segoe UI" w:hAnsi="Segoe UI" w:cs="Segoe UI"/>
      <w:sz w:val="18"/>
      <w:szCs w:val="18"/>
    </w:rPr>
  </w:style>
  <w:style w:type="character" w:styleId="CommentReference">
    <w:name w:val="annotation reference"/>
    <w:basedOn w:val="DefaultParagraphFont"/>
    <w:uiPriority w:val="99"/>
    <w:semiHidden/>
    <w:unhideWhenUsed/>
    <w:rsid w:val="009F518E"/>
    <w:rPr>
      <w:sz w:val="16"/>
      <w:szCs w:val="16"/>
    </w:rPr>
  </w:style>
  <w:style w:type="paragraph" w:styleId="CommentText">
    <w:name w:val="annotation text"/>
    <w:basedOn w:val="Normal"/>
    <w:link w:val="CommentTextChar"/>
    <w:uiPriority w:val="99"/>
    <w:semiHidden/>
    <w:unhideWhenUsed/>
    <w:rsid w:val="009F518E"/>
    <w:pPr>
      <w:spacing w:line="240" w:lineRule="auto"/>
    </w:pPr>
    <w:rPr>
      <w:sz w:val="20"/>
      <w:szCs w:val="20"/>
    </w:rPr>
  </w:style>
  <w:style w:type="character" w:customStyle="1" w:styleId="CommentTextChar">
    <w:name w:val="Comment Text Char"/>
    <w:basedOn w:val="DefaultParagraphFont"/>
    <w:link w:val="CommentText"/>
    <w:uiPriority w:val="99"/>
    <w:semiHidden/>
    <w:rsid w:val="009F518E"/>
    <w:rPr>
      <w:sz w:val="20"/>
      <w:szCs w:val="20"/>
    </w:rPr>
  </w:style>
  <w:style w:type="paragraph" w:styleId="CommentSubject">
    <w:name w:val="annotation subject"/>
    <w:basedOn w:val="CommentText"/>
    <w:next w:val="CommentText"/>
    <w:link w:val="CommentSubjectChar"/>
    <w:uiPriority w:val="99"/>
    <w:semiHidden/>
    <w:unhideWhenUsed/>
    <w:rsid w:val="009F518E"/>
    <w:rPr>
      <w:b/>
      <w:bCs/>
    </w:rPr>
  </w:style>
  <w:style w:type="character" w:customStyle="1" w:styleId="CommentSubjectChar">
    <w:name w:val="Comment Subject Char"/>
    <w:basedOn w:val="CommentTextChar"/>
    <w:link w:val="CommentSubject"/>
    <w:uiPriority w:val="99"/>
    <w:semiHidden/>
    <w:rsid w:val="009F518E"/>
    <w:rPr>
      <w:b/>
      <w:bCs/>
      <w:sz w:val="20"/>
      <w:szCs w:val="20"/>
    </w:rPr>
  </w:style>
  <w:style w:type="paragraph" w:styleId="FootnoteText">
    <w:name w:val="footnote text"/>
    <w:basedOn w:val="Normal"/>
    <w:link w:val="FootnoteTextChar"/>
    <w:uiPriority w:val="99"/>
    <w:semiHidden/>
    <w:unhideWhenUsed/>
    <w:rsid w:val="00A400D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400D3"/>
    <w:rPr>
      <w:sz w:val="20"/>
      <w:szCs w:val="20"/>
    </w:rPr>
  </w:style>
  <w:style w:type="character" w:styleId="FootnoteReference">
    <w:name w:val="footnote reference"/>
    <w:basedOn w:val="DefaultParagraphFont"/>
    <w:uiPriority w:val="99"/>
    <w:semiHidden/>
    <w:unhideWhenUsed/>
    <w:rsid w:val="00A676F7"/>
    <w:rPr>
      <w:vertAlign w:val="superscript"/>
    </w:rPr>
  </w:style>
  <w:style w:type="character" w:customStyle="1" w:styleId="UnresolvedMention">
    <w:name w:val="Unresolved Mention"/>
    <w:basedOn w:val="DefaultParagraphFont"/>
    <w:uiPriority w:val="99"/>
    <w:semiHidden/>
    <w:unhideWhenUsed/>
    <w:rsid w:val="003371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5221306">
      <w:bodyDiv w:val="1"/>
      <w:marLeft w:val="0"/>
      <w:marRight w:val="0"/>
      <w:marTop w:val="0"/>
      <w:marBottom w:val="0"/>
      <w:divBdr>
        <w:top w:val="none" w:sz="0" w:space="0" w:color="auto"/>
        <w:left w:val="none" w:sz="0" w:space="0" w:color="auto"/>
        <w:bottom w:val="none" w:sz="0" w:space="0" w:color="auto"/>
        <w:right w:val="none" w:sz="0" w:space="0" w:color="auto"/>
      </w:divBdr>
    </w:div>
    <w:div w:id="1320383663">
      <w:bodyDiv w:val="1"/>
      <w:marLeft w:val="0"/>
      <w:marRight w:val="0"/>
      <w:marTop w:val="0"/>
      <w:marBottom w:val="0"/>
      <w:divBdr>
        <w:top w:val="none" w:sz="0" w:space="0" w:color="auto"/>
        <w:left w:val="none" w:sz="0" w:space="0" w:color="auto"/>
        <w:bottom w:val="none" w:sz="0" w:space="0" w:color="auto"/>
        <w:right w:val="none" w:sz="0" w:space="0" w:color="auto"/>
      </w:divBdr>
    </w:div>
    <w:div w:id="1531642965">
      <w:bodyDiv w:val="1"/>
      <w:marLeft w:val="0"/>
      <w:marRight w:val="0"/>
      <w:marTop w:val="0"/>
      <w:marBottom w:val="0"/>
      <w:divBdr>
        <w:top w:val="none" w:sz="0" w:space="0" w:color="auto"/>
        <w:left w:val="none" w:sz="0" w:space="0" w:color="auto"/>
        <w:bottom w:val="none" w:sz="0" w:space="0" w:color="auto"/>
        <w:right w:val="none" w:sz="0" w:space="0" w:color="auto"/>
      </w:divBdr>
    </w:div>
    <w:div w:id="1589004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involve.org.uk/programmes/z-programme-nhs-citize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arliamentaryreform.sco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est123582.files.wordpress.com/2017/04/deliberativeinnovations-researchpaper.pd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connectedhealthcities.org/wp-content/uploads/2016/08/CHC-juries-report-Feb-2017.pdf" TargetMode="External"/><Relationship Id="rId4" Type="http://schemas.openxmlformats.org/officeDocument/2006/relationships/settings" Target="settings.xml"/><Relationship Id="rId9" Type="http://schemas.openxmlformats.org/officeDocument/2006/relationships/hyperlink" Target="mailto:stephen.elstub@ncl.ac.uk" TargetMode="External"/><Relationship Id="rId14" Type="http://schemas.openxmlformats.org/officeDocument/2006/relationships/hyperlink" Target="https://www.neues-deutschland.de/artikel/160457.mit-dem-buergeretat-durch-die-lande.html" TargetMode="External"/></Relationships>
</file>

<file path=word/theme/theme1.xml><?xml version="1.0" encoding="utf-8"?>
<a:theme xmlns:a="http://schemas.openxmlformats.org/drawingml/2006/main" name="Droplet">
  <a:themeElements>
    <a:clrScheme name="Droplet">
      <a:dk1>
        <a:sysClr val="windowText" lastClr="000000"/>
      </a:dk1>
      <a:lt1>
        <a:sysClr val="window" lastClr="FFFFFF"/>
      </a:lt1>
      <a:dk2>
        <a:srgbClr val="355071"/>
      </a:dk2>
      <a:lt2>
        <a:srgbClr val="AABED7"/>
      </a:lt2>
      <a:accent1>
        <a:srgbClr val="2FA3EE"/>
      </a:accent1>
      <a:accent2>
        <a:srgbClr val="4BCAAD"/>
      </a:accent2>
      <a:accent3>
        <a:srgbClr val="86C157"/>
      </a:accent3>
      <a:accent4>
        <a:srgbClr val="D99C3F"/>
      </a:accent4>
      <a:accent5>
        <a:srgbClr val="CE6633"/>
      </a:accent5>
      <a:accent6>
        <a:srgbClr val="A35DD1"/>
      </a:accent6>
      <a:hlink>
        <a:srgbClr val="56BCFE"/>
      </a:hlink>
      <a:folHlink>
        <a:srgbClr val="97C5E3"/>
      </a:folHlink>
    </a:clrScheme>
    <a:fontScheme name="Droplet">
      <a:majorFont>
        <a:latin typeface="Tw Cen MT" panose="020B0602020104020603"/>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w Cen MT" panose="020B0602020104020603"/>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Droplet">
      <a:fillStyleLst>
        <a:solidFill>
          <a:schemeClr val="phClr"/>
        </a:solidFill>
        <a:solidFill>
          <a:schemeClr val="phClr">
            <a:tint val="69000"/>
            <a:satMod val="105000"/>
            <a:lumMod val="110000"/>
          </a:schemeClr>
        </a:solidFill>
        <a:gradFill rotWithShape="1">
          <a:gsLst>
            <a:gs pos="0">
              <a:schemeClr val="phClr">
                <a:tint val="94000"/>
                <a:satMod val="100000"/>
                <a:lumMod val="108000"/>
              </a:schemeClr>
            </a:gs>
            <a:gs pos="50000">
              <a:schemeClr val="phClr">
                <a:tint val="98000"/>
                <a:shade val="100000"/>
                <a:satMod val="100000"/>
                <a:lumMod val="100000"/>
              </a:schemeClr>
            </a:gs>
            <a:gs pos="100000">
              <a:schemeClr val="phClr">
                <a:shade val="72000"/>
                <a:satMod val="120000"/>
                <a:lumMod val="100000"/>
              </a:schemeClr>
            </a:gs>
          </a:gsLst>
          <a:lin ang="5400000" scaled="0"/>
        </a:gradFill>
      </a:fillStyleLst>
      <a:lnStyleLst>
        <a:ln w="9525" cap="flat" cmpd="sng" algn="ctr">
          <a:solidFill>
            <a:schemeClr val="phClr">
              <a:shade val="60000"/>
            </a:scheme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outerShdw blurRad="50800" dist="25400" dir="5400000" rotWithShape="0">
              <a:srgbClr val="000000">
                <a:alpha val="28000"/>
              </a:srgbClr>
            </a:outerShdw>
          </a:effectLst>
        </a:effectStyle>
        <a:effectStyle>
          <a:effectLst>
            <a:outerShdw blurRad="63500" dist="25400" dir="5400000" algn="ctr" rotWithShape="0">
              <a:srgbClr val="000000">
                <a:alpha val="69000"/>
              </a:srgbClr>
            </a:outerShdw>
          </a:effectLst>
          <a:scene3d>
            <a:camera prst="orthographicFront">
              <a:rot lat="0" lon="0" rev="0"/>
            </a:camera>
            <a:lightRig rig="balanced" dir="t">
              <a:rot lat="0" lon="0" rev="1200000"/>
            </a:lightRig>
          </a:scene3d>
          <a:sp3d prstMaterial="plastic">
            <a:bevelT w="25400" h="25400"/>
          </a:sp3d>
        </a:effectStyle>
      </a:effectStyleLst>
      <a:bgFillStyleLst>
        <a:solidFill>
          <a:schemeClr val="phClr"/>
        </a:solidFill>
        <a:gradFill rotWithShape="1">
          <a:gsLst>
            <a:gs pos="0">
              <a:schemeClr val="phClr">
                <a:tint val="90000"/>
                <a:lumMod val="110000"/>
              </a:schemeClr>
            </a:gs>
            <a:gs pos="100000">
              <a:schemeClr val="phClr">
                <a:shade val="64000"/>
                <a:lumMod val="88000"/>
              </a:schemeClr>
            </a:gs>
          </a:gsLst>
          <a:lin ang="5400000" scaled="0"/>
        </a:gradFill>
        <a:gradFill rotWithShape="1">
          <a:gsLst>
            <a:gs pos="0">
              <a:schemeClr val="phClr">
                <a:tint val="84000"/>
                <a:shade val="100000"/>
                <a:hueMod val="130000"/>
                <a:satMod val="150000"/>
                <a:lumMod val="112000"/>
              </a:schemeClr>
            </a:gs>
            <a:gs pos="100000">
              <a:schemeClr val="phClr">
                <a:shade val="92000"/>
                <a:satMod val="140000"/>
                <a:lumMod val="110000"/>
              </a:schemeClr>
            </a:gs>
          </a:gsLst>
          <a:lin ang="5400000" scaled="0"/>
        </a:gradFill>
      </a:bgFillStyleLst>
    </a:fmtScheme>
  </a:themeElements>
  <a:objectDefaults/>
  <a:extraClrSchemeLst/>
  <a:extLst>
    <a:ext uri="{05A4C25C-085E-4340-85A3-A5531E510DB2}">
      <thm15:themeFamily xmlns:thm15="http://schemas.microsoft.com/office/thememl/2012/main" name="Droplet" id="{8984A317-299A-4E50-B45D-BFC9EDE2337A}" vid="{A633B6A3-9E7F-4C10-9C98-2517A313436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A6C121-A150-4FD5-9193-565B74867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58</Pages>
  <Words>25599</Words>
  <Characters>145917</Characters>
  <Application>Microsoft Office Word</Application>
  <DocSecurity>0</DocSecurity>
  <Lines>1215</Lines>
  <Paragraphs>342</Paragraphs>
  <ScaleCrop>false</ScaleCrop>
  <HeadingPairs>
    <vt:vector size="2" baseType="variant">
      <vt:variant>
        <vt:lpstr>Title</vt:lpstr>
      </vt:variant>
      <vt:variant>
        <vt:i4>1</vt:i4>
      </vt:variant>
    </vt:vector>
  </HeadingPairs>
  <TitlesOfParts>
    <vt:vector size="1" baseType="lpstr">
      <vt:lpstr>Mini-publics and evidence uptake in social policy and practice</vt:lpstr>
    </vt:vector>
  </TitlesOfParts>
  <Company>Newcastle University</Company>
  <LinksUpToDate>false</LinksUpToDate>
  <CharactersWithSpaces>171174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Mini-publics and evidence uptake in social policy and practice</dc:title>
  <dc:subject/>
  <dc:creator>Stephen Elstub</dc:creator>
  <cp:keywords/>
  <dc:description/>
  <cp:lastModifiedBy>Stephen Elstub</cp:lastModifiedBy>
  <cp:revision>3</cp:revision>
  <cp:lastPrinted>2018-07-11T12:01:00Z</cp:lastPrinted>
  <dcterms:created xsi:type="dcterms:W3CDTF">2018-07-11T12:01:00Z</dcterms:created>
  <dcterms:modified xsi:type="dcterms:W3CDTF">2018-07-11T12:02:00Z</dcterms:modified>
</cp:coreProperties>
</file>